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310F08D3"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AC2CC6">
        <w:rPr>
          <w:rFonts w:ascii="Arial" w:eastAsia="MS Mincho" w:hAnsi="Arial" w:cs="Arial"/>
          <w:b/>
          <w:sz w:val="24"/>
          <w:lang w:eastAsia="en-US"/>
        </w:rPr>
        <w:t>7</w:t>
      </w:r>
      <w:r w:rsidRPr="004C60F2">
        <w:rPr>
          <w:rFonts w:ascii="Arial" w:eastAsia="MS Mincho" w:hAnsi="Arial" w:cs="Arial"/>
          <w:b/>
          <w:sz w:val="24"/>
          <w:lang w:eastAsia="en-US"/>
        </w:rPr>
        <w:tab/>
      </w:r>
      <w:r w:rsidR="00A133C0" w:rsidRPr="00A133C0">
        <w:rPr>
          <w:rFonts w:ascii="Arial" w:eastAsia="MS Mincho" w:hAnsi="Arial" w:cs="Arial"/>
          <w:b/>
          <w:sz w:val="24"/>
          <w:lang w:eastAsia="en-US"/>
        </w:rPr>
        <w:t>R2-2406277</w:t>
      </w:r>
    </w:p>
    <w:p w14:paraId="762F07C6" w14:textId="33DAC741" w:rsidR="00545ADB" w:rsidRPr="004C60F2" w:rsidRDefault="00AC2CC6" w:rsidP="00545ADB">
      <w:pPr>
        <w:tabs>
          <w:tab w:val="right" w:pos="9639"/>
        </w:tabs>
        <w:overflowPunct/>
        <w:autoSpaceDE/>
        <w:autoSpaceDN/>
        <w:adjustRightInd/>
        <w:spacing w:after="0"/>
        <w:textAlignment w:val="auto"/>
        <w:rPr>
          <w:rFonts w:ascii="Arial" w:eastAsia="宋体" w:hAnsi="Arial" w:cs="Arial"/>
          <w:b/>
          <w:sz w:val="24"/>
          <w:lang w:eastAsia="en-US"/>
        </w:rPr>
      </w:pPr>
      <w:r w:rsidRPr="00AC2CC6">
        <w:rPr>
          <w:rFonts w:ascii="Arial" w:eastAsia="MS Mincho" w:hAnsi="Arial" w:cs="Arial"/>
          <w:b/>
          <w:sz w:val="24"/>
          <w:lang w:eastAsia="en-US"/>
        </w:rPr>
        <w:t>Maastricht</w:t>
      </w:r>
      <w:r w:rsidR="006B5FAD" w:rsidRPr="006B5FAD">
        <w:rPr>
          <w:rFonts w:ascii="Arial" w:eastAsia="MS Mincho" w:hAnsi="Arial" w:cs="Arial"/>
          <w:b/>
          <w:sz w:val="24"/>
          <w:lang w:eastAsia="en-US"/>
        </w:rPr>
        <w:t xml:space="preserve">, </w:t>
      </w:r>
      <w:r>
        <w:rPr>
          <w:rFonts w:ascii="Arial" w:eastAsia="MS Mincho" w:hAnsi="Arial" w:cs="Arial"/>
          <w:b/>
          <w:sz w:val="24"/>
          <w:lang w:eastAsia="en-US"/>
        </w:rPr>
        <w:t>Netherlands</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19</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 </w:t>
      </w:r>
      <w:r w:rsidR="00E72D73">
        <w:rPr>
          <w:rFonts w:ascii="Arial" w:eastAsia="MS Mincho" w:hAnsi="Arial" w:cs="Arial"/>
          <w:b/>
          <w:sz w:val="24"/>
          <w:lang w:eastAsia="en-US"/>
        </w:rPr>
        <w:t>2</w:t>
      </w:r>
      <w:r>
        <w:rPr>
          <w:rFonts w:ascii="Arial" w:eastAsia="MS Mincho" w:hAnsi="Arial" w:cs="Arial"/>
          <w:b/>
          <w:sz w:val="24"/>
          <w:lang w:eastAsia="en-US"/>
        </w:rPr>
        <w:t>3</w:t>
      </w:r>
      <w:r>
        <w:rPr>
          <w:rFonts w:ascii="Arial" w:eastAsia="MS Mincho" w:hAnsi="Arial" w:cs="Arial"/>
          <w:b/>
          <w:sz w:val="24"/>
          <w:vertAlign w:val="superscript"/>
          <w:lang w:eastAsia="en-US"/>
        </w:rPr>
        <w:t>rd</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August</w:t>
      </w:r>
      <w:r w:rsidR="00545ADB" w:rsidRPr="004C60F2">
        <w:rPr>
          <w:rFonts w:ascii="Arial" w:eastAsia="MS Mincho" w:hAnsi="Arial" w:cs="Arial"/>
          <w:b/>
          <w:sz w:val="24"/>
          <w:lang w:eastAsia="en-US"/>
        </w:rPr>
        <w:t>,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1E2AAA31"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475A5B">
        <w:rPr>
          <w:rFonts w:ascii="Arial" w:eastAsia="MS Mincho" w:hAnsi="Arial" w:cs="Arial"/>
          <w:b/>
          <w:sz w:val="24"/>
          <w:szCs w:val="24"/>
          <w:lang w:eastAsia="en-US"/>
        </w:rPr>
        <w:t>7.</w:t>
      </w:r>
      <w:r w:rsidR="00AC2CC6">
        <w:rPr>
          <w:rFonts w:ascii="Arial" w:eastAsia="MS Mincho" w:hAnsi="Arial" w:cs="Arial"/>
          <w:b/>
          <w:sz w:val="24"/>
          <w:szCs w:val="24"/>
          <w:lang w:eastAsia="en-US"/>
        </w:rPr>
        <w:t>0</w:t>
      </w:r>
      <w:r w:rsidR="00475A5B">
        <w:rPr>
          <w:rFonts w:ascii="Arial" w:eastAsia="MS Mincho" w:hAnsi="Arial" w:cs="Arial"/>
          <w:b/>
          <w:sz w:val="24"/>
          <w:szCs w:val="24"/>
          <w:lang w:eastAsia="en-US"/>
        </w:rPr>
        <w:t>.</w:t>
      </w:r>
      <w:r w:rsidR="00A55C57">
        <w:rPr>
          <w:rFonts w:ascii="Arial" w:eastAsia="MS Mincho" w:hAnsi="Arial" w:cs="Arial"/>
          <w:b/>
          <w:sz w:val="24"/>
          <w:szCs w:val="24"/>
          <w:lang w:eastAsia="en-US"/>
        </w:rPr>
        <w:t>2</w:t>
      </w:r>
      <w:r w:rsidR="00AC2CC6">
        <w:rPr>
          <w:rFonts w:ascii="Arial" w:eastAsia="MS Mincho" w:hAnsi="Arial" w:cs="Arial"/>
          <w:b/>
          <w:sz w:val="24"/>
          <w:szCs w:val="24"/>
          <w:lang w:eastAsia="en-US"/>
        </w:rPr>
        <w:t>.2</w:t>
      </w:r>
    </w:p>
    <w:p w14:paraId="3C2A736E" w14:textId="790185E8"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r w:rsidR="00250074">
        <w:rPr>
          <w:rFonts w:ascii="Arial" w:eastAsia="MS Mincho" w:hAnsi="Arial" w:cs="Arial"/>
          <w:b/>
          <w:sz w:val="24"/>
          <w:szCs w:val="24"/>
          <w:lang w:eastAsia="en-US"/>
        </w:rPr>
        <w:t xml:space="preserve">, </w:t>
      </w:r>
      <w:r w:rsidR="00250074" w:rsidRPr="00250074">
        <w:rPr>
          <w:rFonts w:ascii="Arial" w:eastAsia="MS Mincho" w:hAnsi="Arial" w:cs="Arial"/>
          <w:b/>
          <w:sz w:val="24"/>
          <w:szCs w:val="24"/>
          <w:lang w:eastAsia="en-US"/>
        </w:rPr>
        <w:t>Intel Corporation</w:t>
      </w:r>
    </w:p>
    <w:p w14:paraId="439B0845" w14:textId="6C6E047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250074" w:rsidRPr="00250074">
        <w:rPr>
          <w:rFonts w:ascii="Arial" w:eastAsia="MS Mincho" w:hAnsi="Arial" w:cs="Arial"/>
          <w:b/>
          <w:sz w:val="24"/>
          <w:szCs w:val="24"/>
          <w:lang w:eastAsia="en-US"/>
        </w:rPr>
        <w:t>Discussion on NCR capability</w:t>
      </w:r>
    </w:p>
    <w:p w14:paraId="2D991995" w14:textId="714F1C70"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0B845486" w14:textId="0C24BBCD" w:rsidR="00DE544E" w:rsidRDefault="00AD7212" w:rsidP="00330723">
      <w:pPr>
        <w:pStyle w:val="afd"/>
        <w:spacing w:beforeLines="50" w:before="120"/>
        <w:rPr>
          <w:rFonts w:ascii="Times New Roman" w:hAnsi="Times New Roman"/>
          <w:sz w:val="22"/>
        </w:rPr>
      </w:pPr>
      <w:bookmarkStart w:id="0" w:name="_Toc147158671"/>
      <w:bookmarkStart w:id="1" w:name="_Toc61387172"/>
      <w:bookmarkStart w:id="2" w:name="_Toc499559238"/>
      <w:r w:rsidRPr="00AD7212">
        <w:rPr>
          <w:rFonts w:ascii="Times New Roman" w:hAnsi="Times New Roman"/>
          <w:sz w:val="22"/>
        </w:rPr>
        <w:t xml:space="preserve">RAN2 received </w:t>
      </w:r>
      <w:r w:rsidR="00AB6725">
        <w:rPr>
          <w:rFonts w:ascii="Times New Roman" w:hAnsi="Times New Roman" w:hint="eastAsia"/>
          <w:sz w:val="22"/>
        </w:rPr>
        <w:t>an</w:t>
      </w:r>
      <w:r w:rsidRPr="00AD7212">
        <w:rPr>
          <w:rFonts w:ascii="Times New Roman" w:hAnsi="Times New Roman"/>
          <w:sz w:val="22"/>
        </w:rPr>
        <w:t xml:space="preserve"> LS </w:t>
      </w:r>
      <w:r w:rsidR="000A591F">
        <w:rPr>
          <w:rFonts w:ascii="Times New Roman" w:hAnsi="Times New Roman"/>
          <w:sz w:val="22"/>
        </w:rPr>
        <w:t xml:space="preserve">[1] </w:t>
      </w:r>
      <w:r w:rsidR="00AB6725">
        <w:rPr>
          <w:rFonts w:ascii="Times New Roman" w:hAnsi="Times New Roman"/>
          <w:sz w:val="22"/>
        </w:rPr>
        <w:t>from RAN4 with</w:t>
      </w:r>
      <w:r w:rsidRPr="00AD7212">
        <w:rPr>
          <w:rFonts w:ascii="Times New Roman" w:hAnsi="Times New Roman"/>
          <w:sz w:val="22"/>
        </w:rPr>
        <w:t xml:space="preserve"> </w:t>
      </w:r>
      <w:r w:rsidR="00AB6725">
        <w:rPr>
          <w:rFonts w:ascii="Times New Roman" w:hAnsi="Times New Roman"/>
          <w:sz w:val="22"/>
        </w:rPr>
        <w:t xml:space="preserve">the feature list </w:t>
      </w:r>
      <w:r w:rsidR="000A591F" w:rsidRPr="00AD7212">
        <w:rPr>
          <w:rFonts w:ascii="Times New Roman" w:hAnsi="Times New Roman"/>
          <w:sz w:val="22"/>
        </w:rPr>
        <w:t>[</w:t>
      </w:r>
      <w:r w:rsidR="000A591F">
        <w:rPr>
          <w:rFonts w:ascii="Times New Roman" w:hAnsi="Times New Roman"/>
          <w:sz w:val="22"/>
        </w:rPr>
        <w:t>2</w:t>
      </w:r>
      <w:r w:rsidR="000A591F" w:rsidRPr="00AD7212">
        <w:rPr>
          <w:rFonts w:ascii="Times New Roman" w:hAnsi="Times New Roman"/>
          <w:sz w:val="22"/>
        </w:rPr>
        <w:t>]</w:t>
      </w:r>
      <w:r w:rsidR="000A591F">
        <w:rPr>
          <w:rFonts w:ascii="Times New Roman" w:hAnsi="Times New Roman"/>
          <w:sz w:val="22"/>
        </w:rPr>
        <w:t xml:space="preserve"> </w:t>
      </w:r>
      <w:r w:rsidR="00AB6725">
        <w:rPr>
          <w:rFonts w:ascii="Times New Roman" w:hAnsi="Times New Roman"/>
          <w:sz w:val="22"/>
        </w:rPr>
        <w:t>of NCR-MT enclosed after RAN2#125bis. Specifically,</w:t>
      </w:r>
      <w:r w:rsidRPr="00AD7212">
        <w:rPr>
          <w:rFonts w:ascii="Times New Roman" w:hAnsi="Times New Roman"/>
          <w:sz w:val="22"/>
        </w:rPr>
        <w:t xml:space="preserve"> </w:t>
      </w:r>
      <w:r w:rsidR="00AB6725">
        <w:rPr>
          <w:rFonts w:ascii="Times New Roman" w:hAnsi="Times New Roman"/>
          <w:sz w:val="22"/>
        </w:rPr>
        <w:t>the following was described in the LS</w:t>
      </w:r>
      <w:r w:rsidR="00DE544E">
        <w:rPr>
          <w:rFonts w:ascii="Times New Roman" w:hAnsi="Times New Roman"/>
          <w:sz w:val="22"/>
        </w:rPr>
        <w:t>:</w:t>
      </w:r>
    </w:p>
    <w:p w14:paraId="5AD1D00B" w14:textId="77777777" w:rsidR="00F742A8" w:rsidRDefault="00F742A8" w:rsidP="00330723">
      <w:pPr>
        <w:pStyle w:val="afd"/>
        <w:spacing w:beforeLines="50" w:before="120"/>
        <w:rPr>
          <w:rFonts w:ascii="Times New Roman" w:hAnsi="Times New Roman"/>
          <w:sz w:val="22"/>
        </w:rPr>
      </w:pPr>
      <w:r>
        <w:rPr>
          <w:rFonts w:eastAsia="Malgun Gothic"/>
          <w:noProof/>
          <w:sz w:val="22"/>
          <w:lang w:val="en-US"/>
        </w:rPr>
        <mc:AlternateContent>
          <mc:Choice Requires="wps">
            <w:drawing>
              <wp:inline distT="0" distB="0" distL="0" distR="0" wp14:anchorId="67C4F275" wp14:editId="09966AEB">
                <wp:extent cx="5923129" cy="1317009"/>
                <wp:effectExtent l="0" t="0" r="20955" b="16510"/>
                <wp:docPr id="2" name="文本框 2"/>
                <wp:cNvGraphicFramePr/>
                <a:graphic xmlns:a="http://schemas.openxmlformats.org/drawingml/2006/main">
                  <a:graphicData uri="http://schemas.microsoft.com/office/word/2010/wordprocessingShape">
                    <wps:wsp>
                      <wps:cNvSpPr txBox="1"/>
                      <wps:spPr>
                        <a:xfrm>
                          <a:off x="0" y="0"/>
                          <a:ext cx="5923129" cy="13170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F8B96E"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hint="eastAsia"/>
                                <w:bCs/>
                                <w:iCs/>
                                <w:sz w:val="22"/>
                                <w:lang w:eastAsia="zh-CN"/>
                              </w:rPr>
                              <w:t>I</w:t>
                            </w:r>
                            <w:r w:rsidRPr="00F3039E">
                              <w:rPr>
                                <w:rFonts w:ascii="Arial" w:hAnsi="Arial" w:cs="Arial"/>
                                <w:bCs/>
                                <w:iCs/>
                                <w:sz w:val="22"/>
                                <w:lang w:eastAsia="zh-CN"/>
                              </w:rPr>
                              <w:t>n addition, RAN4 discussed the applicable FGs for Rel-18 NCR MT and agreed that following FGs in TR38.822 are applicable to NCR MT:</w:t>
                            </w:r>
                          </w:p>
                          <w:p w14:paraId="3AEE8435"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bCs/>
                                <w:iCs/>
                                <w:sz w:val="22"/>
                                <w:lang w:eastAsia="zh-CN"/>
                              </w:rPr>
                              <w:t>-</w:t>
                            </w:r>
                            <w:r w:rsidRPr="00F3039E">
                              <w:rPr>
                                <w:rFonts w:ascii="Arial" w:hAnsi="Arial" w:cs="Arial"/>
                                <w:bCs/>
                                <w:iCs/>
                                <w:sz w:val="22"/>
                                <w:lang w:eastAsia="zh-CN"/>
                              </w:rPr>
                              <w:tab/>
                              <w:t>Rel-15 FGs: details refer to R4-2402517</w:t>
                            </w:r>
                          </w:p>
                          <w:p w14:paraId="6B52B786"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bCs/>
                                <w:iCs/>
                                <w:sz w:val="22"/>
                                <w:lang w:eastAsia="zh-CN"/>
                              </w:rPr>
                              <w:t>-</w:t>
                            </w:r>
                            <w:r w:rsidRPr="00F3039E">
                              <w:rPr>
                                <w:rFonts w:ascii="Arial" w:hAnsi="Arial" w:cs="Arial"/>
                                <w:bCs/>
                                <w:iCs/>
                                <w:sz w:val="22"/>
                                <w:lang w:eastAsia="zh-CN"/>
                              </w:rPr>
                              <w:tab/>
                              <w:t>Rel-16 and Rel-17 FGs: All of R16 and R17 features are optional for NCR-MT except for CA, DC related feature, unlicensed band and, HPUE Duty cycle, MPR related feature which is not applicable for NCR-MT.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7C4F275" id="_x0000_t202" coordsize="21600,21600" o:spt="202" path="m,l,21600r21600,l21600,xe">
                <v:stroke joinstyle="miter"/>
                <v:path gradientshapeok="t" o:connecttype="rect"/>
              </v:shapetype>
              <v:shape id="文本框 2" o:spid="_x0000_s1026" type="#_x0000_t202" style="width:466.4pt;height:10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4qYpQIAALQFAAAOAAAAZHJzL2Uyb0RvYy54bWysVM1OGzEQvlfqO1i+l/3hp03EBqUgqkoI&#10;UKHi7HhtYuH1uLaT3fQB2jfoqZfe+1w8R8feTQiUC1Uvu2PPN3+fZ+bwqGs0WQrnFZiKFjs5JcJw&#10;qJW5rejn69M37yjxgZmaaTCioivh6dHk9avD1o5FCXPQtXAEnRg/bm1F5yHYcZZ5PhcN8ztghUGl&#10;BNewgEd3m9WOtei90VmZ5wdZC662DrjwHm9PeiWdJP9SCh4upPQiEF1RzC2kr0vfWfxmk0M2vnXM&#10;zhUf0mD/kEXDlMGgG1cnLDCycOovV43iDjzIsMOhyUBKxUWqAasp8ifVXM2ZFakWJMfbDU3+/7nl&#10;58tLR1Rd0ZISwxp8ovsf3+9//r7/9Y2UkZ7W+jGiriziQvceOnzm9b3Hy1h1J10T/1gPQT0SvdqQ&#10;K7pAOF7uj8rdohxRwlFX7BZv83wU/WQP5tb58EFAQ6JQUYevl0hlyzMfeugaEqN50Ko+VVqnQ+wY&#10;cawdWTJ8ax1Skuj8EUob0lb0YHc/T44f6aLrjf1MM343pLeFQn/axHAi9daQVqSopyJJYaVFxGjz&#10;SUjkNjHyTI6Mc2E2eSZ0REms6CWGA/4hq5cY93WgRYoMJmyMG2XA9Sw9pra+W1Mrezy+4VbdUQzd&#10;rBtaZwb1CjvHQT963vJThUSfMR8umcNZw2bB/REu8CM14OvAIFEyB/f1ufuIxxFALSUtzm5F/ZcF&#10;c4IS/dHgcIyKvb047Omwt/+2xIPb1sy2NWbRHAO2TIGbyvIkRnzQa1E6aG5wzUxjVFQxwzF2RcNa&#10;PA79RsE1xcV0mkA43paFM3NleXQd6Y0Ndt3dMGeHBg84G+ewnnI2ftLnPTZaGpguAkiVhiAS3LM6&#10;EI+rIY3RsMbi7tk+J9TDsp38AQAA//8DAFBLAwQUAAYACAAAACEAhMJLYdoAAAAFAQAADwAAAGRy&#10;cy9kb3ducmV2LnhtbEyPwU7DMBBE70j8g7VI3KhDQJCmcSpAhQsnCup5G29ti9iOYjcNf8/CBS4j&#10;rWY186ZZz74XE43JxaDgelGAoNBF7YJR8PH+fFWBSBmDxj4GUvBFCdbt+VmDtY6n8EbTNhvBISHV&#10;qMDmPNRSps6Sx7SIAwX2DnH0mPkcjdQjnjjc97Isijvp0QVusDjQk6Xuc3v0CjaPZmm6Cke7qbRz&#10;07w7vJoXpS4v5ocViExz/nuGH3xGh5aZ9vEYdBK9Ah6Sf5W95U3JM/YKyuL+FmTbyP/07TcAAAD/&#10;/wMAUEsBAi0AFAAGAAgAAAAhALaDOJL+AAAA4QEAABMAAAAAAAAAAAAAAAAAAAAAAFtDb250ZW50&#10;X1R5cGVzXS54bWxQSwECLQAUAAYACAAAACEAOP0h/9YAAACUAQAACwAAAAAAAAAAAAAAAAAvAQAA&#10;X3JlbHMvLnJlbHNQSwECLQAUAAYACAAAACEAJruKmKUCAAC0BQAADgAAAAAAAAAAAAAAAAAuAgAA&#10;ZHJzL2Uyb0RvYy54bWxQSwECLQAUAAYACAAAACEAhMJLYdoAAAAFAQAADwAAAAAAAAAAAAAAAAD/&#10;BAAAZHJzL2Rvd25yZXYueG1sUEsFBgAAAAAEAAQA8wAAAAYGAAAAAA==&#10;" fillcolor="white [3201]" strokeweight=".5pt">
                <v:textbox>
                  <w:txbxContent>
                    <w:p w14:paraId="22F8B96E"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hint="eastAsia"/>
                          <w:bCs/>
                          <w:iCs/>
                          <w:sz w:val="22"/>
                          <w:lang w:eastAsia="zh-CN"/>
                        </w:rPr>
                        <w:t>I</w:t>
                      </w:r>
                      <w:r w:rsidRPr="00F3039E">
                        <w:rPr>
                          <w:rFonts w:ascii="Arial" w:hAnsi="Arial" w:cs="Arial"/>
                          <w:bCs/>
                          <w:iCs/>
                          <w:sz w:val="22"/>
                          <w:lang w:eastAsia="zh-CN"/>
                        </w:rPr>
                        <w:t>n addition, RAN4 discussed the applicable FGs for Rel-18 NCR MT and agreed that following FGs in TR38.822 are applicable to NCR MT:</w:t>
                      </w:r>
                    </w:p>
                    <w:p w14:paraId="3AEE8435"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bCs/>
                          <w:iCs/>
                          <w:sz w:val="22"/>
                          <w:lang w:eastAsia="zh-CN"/>
                        </w:rPr>
                        <w:t>-</w:t>
                      </w:r>
                      <w:r w:rsidRPr="00F3039E">
                        <w:rPr>
                          <w:rFonts w:ascii="Arial" w:hAnsi="Arial" w:cs="Arial"/>
                          <w:bCs/>
                          <w:iCs/>
                          <w:sz w:val="22"/>
                          <w:lang w:eastAsia="zh-CN"/>
                        </w:rPr>
                        <w:tab/>
                        <w:t>Rel-15 FGs: details refer to R4-2402517</w:t>
                      </w:r>
                    </w:p>
                    <w:p w14:paraId="6B52B786" w14:textId="77777777" w:rsidR="00072339" w:rsidRPr="00F3039E" w:rsidRDefault="00072339" w:rsidP="00F742A8">
                      <w:pPr>
                        <w:spacing w:afterLines="50" w:after="120"/>
                        <w:jc w:val="both"/>
                        <w:rPr>
                          <w:rFonts w:ascii="Arial" w:hAnsi="Arial" w:cs="Arial"/>
                          <w:bCs/>
                          <w:iCs/>
                          <w:sz w:val="22"/>
                          <w:lang w:eastAsia="zh-CN"/>
                        </w:rPr>
                      </w:pPr>
                      <w:r w:rsidRPr="00F3039E">
                        <w:rPr>
                          <w:rFonts w:ascii="Arial" w:hAnsi="Arial" w:cs="Arial"/>
                          <w:bCs/>
                          <w:iCs/>
                          <w:sz w:val="22"/>
                          <w:lang w:eastAsia="zh-CN"/>
                        </w:rPr>
                        <w:t>-</w:t>
                      </w:r>
                      <w:r w:rsidRPr="00F3039E">
                        <w:rPr>
                          <w:rFonts w:ascii="Arial" w:hAnsi="Arial" w:cs="Arial"/>
                          <w:bCs/>
                          <w:iCs/>
                          <w:sz w:val="22"/>
                          <w:lang w:eastAsia="zh-CN"/>
                        </w:rPr>
                        <w:tab/>
                        <w:t>Rel-16 and Rel-17 FGs: All of R16 and R17 features are optional for NCR-MT except for CA, DC related feature, unlicensed band and, HPUE Duty cycle, MPR related feature which is not applicable for NCR-MT.</w:t>
                      </w:r>
                    </w:p>
                  </w:txbxContent>
                </v:textbox>
                <w10:anchorlock/>
              </v:shape>
            </w:pict>
          </mc:Fallback>
        </mc:AlternateContent>
      </w:r>
      <w:r>
        <w:rPr>
          <w:rFonts w:ascii="Times New Roman" w:hAnsi="Times New Roman"/>
          <w:sz w:val="22"/>
        </w:rPr>
        <w:t xml:space="preserve"> </w:t>
      </w:r>
    </w:p>
    <w:p w14:paraId="3E8E96ED" w14:textId="189ED277" w:rsidR="00372240" w:rsidRDefault="00DE544E" w:rsidP="00330723">
      <w:pPr>
        <w:pStyle w:val="afd"/>
        <w:spacing w:beforeLines="50" w:before="120"/>
        <w:rPr>
          <w:rFonts w:ascii="Times New Roman" w:hAnsi="Times New Roman"/>
          <w:sz w:val="22"/>
        </w:rPr>
      </w:pPr>
      <w:r>
        <w:rPr>
          <w:rFonts w:ascii="Times New Roman" w:hAnsi="Times New Roman"/>
          <w:sz w:val="22"/>
        </w:rPr>
        <w:t xml:space="preserve">Based on the LS, a new table </w:t>
      </w:r>
      <w:r w:rsidR="00317C13">
        <w:rPr>
          <w:rFonts w:ascii="Times New Roman" w:hAnsi="Times New Roman"/>
          <w:sz w:val="22"/>
        </w:rPr>
        <w:t>(</w:t>
      </w:r>
      <w:r w:rsidR="00317C13" w:rsidRPr="00317C13">
        <w:rPr>
          <w:rFonts w:ascii="Times New Roman" w:hAnsi="Times New Roman"/>
          <w:sz w:val="22"/>
        </w:rPr>
        <w:t>Table 4.2.23.1-3</w:t>
      </w:r>
      <w:r w:rsidR="00317C13">
        <w:rPr>
          <w:rFonts w:ascii="Times New Roman" w:hAnsi="Times New Roman"/>
          <w:sz w:val="22"/>
        </w:rPr>
        <w:t xml:space="preserve">) </w:t>
      </w:r>
      <w:r>
        <w:rPr>
          <w:rFonts w:ascii="Times New Roman" w:hAnsi="Times New Roman" w:hint="eastAsia"/>
          <w:sz w:val="22"/>
        </w:rPr>
        <w:t>was</w:t>
      </w:r>
      <w:r>
        <w:rPr>
          <w:rFonts w:ascii="Times New Roman" w:hAnsi="Times New Roman"/>
          <w:sz w:val="22"/>
        </w:rPr>
        <w:t xml:space="preserve"> </w:t>
      </w:r>
      <w:r>
        <w:rPr>
          <w:rFonts w:ascii="Times New Roman" w:hAnsi="Times New Roman" w:hint="eastAsia"/>
          <w:sz w:val="22"/>
        </w:rPr>
        <w:t>added</w:t>
      </w:r>
      <w:r>
        <w:rPr>
          <w:rFonts w:ascii="Times New Roman" w:hAnsi="Times New Roman"/>
          <w:sz w:val="22"/>
        </w:rPr>
        <w:t xml:space="preserve"> in 38.306 </w:t>
      </w:r>
      <w:r w:rsidR="00313152">
        <w:rPr>
          <w:rFonts w:ascii="Times New Roman" w:hAnsi="Times New Roman"/>
          <w:sz w:val="22"/>
        </w:rPr>
        <w:t>to capture</w:t>
      </w:r>
      <w:r>
        <w:rPr>
          <w:rFonts w:ascii="Times New Roman" w:hAnsi="Times New Roman"/>
          <w:sz w:val="22"/>
        </w:rPr>
        <w:t xml:space="preserve"> the RF/RRM capabilities of NCR-MT. </w:t>
      </w:r>
      <w:r w:rsidR="00313152">
        <w:rPr>
          <w:rFonts w:ascii="Times New Roman" w:hAnsi="Times New Roman"/>
          <w:sz w:val="22"/>
        </w:rPr>
        <w:t>However, it seems not entirely aligned with what RAN4 indicated in the feature</w:t>
      </w:r>
      <w:r w:rsidR="00092299">
        <w:rPr>
          <w:rFonts w:ascii="Times New Roman" w:hAnsi="Times New Roman"/>
          <w:sz w:val="22"/>
        </w:rPr>
        <w:t xml:space="preserve"> list</w:t>
      </w:r>
      <w:r w:rsidR="00313152">
        <w:rPr>
          <w:rFonts w:ascii="Times New Roman" w:hAnsi="Times New Roman"/>
          <w:sz w:val="22"/>
        </w:rPr>
        <w:t xml:space="preserve">. </w:t>
      </w:r>
      <w:r w:rsidR="00205807" w:rsidRPr="001B318A">
        <w:rPr>
          <w:rFonts w:ascii="Times New Roman" w:hAnsi="Times New Roman"/>
          <w:sz w:val="22"/>
        </w:rPr>
        <w:t xml:space="preserve">In this contribution, </w:t>
      </w:r>
      <w:r w:rsidR="00372240">
        <w:rPr>
          <w:rFonts w:ascii="Times New Roman" w:hAnsi="Times New Roman"/>
          <w:sz w:val="22"/>
        </w:rPr>
        <w:t xml:space="preserve">we </w:t>
      </w:r>
      <w:r w:rsidR="00313152">
        <w:rPr>
          <w:rFonts w:ascii="Times New Roman" w:hAnsi="Times New Roman"/>
          <w:sz w:val="22"/>
        </w:rPr>
        <w:t>will analyse divide the capabilities into different categories</w:t>
      </w:r>
      <w:r w:rsidR="00F742A8">
        <w:rPr>
          <w:rFonts w:ascii="Times New Roman" w:hAnsi="Times New Roman"/>
          <w:sz w:val="22"/>
        </w:rPr>
        <w:t xml:space="preserve"> based on the LS and propose to capture them in the specs accordingly.</w:t>
      </w:r>
    </w:p>
    <w:p w14:paraId="5A86C9F4" w14:textId="77777777" w:rsidR="00545ADB"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3A2D053B" w14:textId="04869754" w:rsidR="000A591F" w:rsidRDefault="00B8456C" w:rsidP="004F6FF8">
      <w:pPr>
        <w:textAlignment w:val="auto"/>
        <w:rPr>
          <w:rFonts w:eastAsia="Malgun Gothic"/>
          <w:sz w:val="22"/>
          <w:lang w:eastAsia="de-DE"/>
        </w:rPr>
      </w:pPr>
      <w:r>
        <w:rPr>
          <w:rFonts w:eastAsia="Malgun Gothic"/>
          <w:sz w:val="22"/>
          <w:lang w:eastAsia="de-DE"/>
        </w:rPr>
        <w:t xml:space="preserve">Since the general guidance for </w:t>
      </w:r>
      <w:r w:rsidRPr="00B8456C">
        <w:rPr>
          <w:rFonts w:eastAsia="Malgun Gothic"/>
          <w:sz w:val="22"/>
          <w:lang w:eastAsia="de-DE"/>
        </w:rPr>
        <w:t xml:space="preserve">Rel-16 and Rel-17 FGs </w:t>
      </w:r>
      <w:r>
        <w:rPr>
          <w:rFonts w:eastAsia="Malgun Gothic"/>
          <w:sz w:val="22"/>
          <w:lang w:eastAsia="de-DE"/>
        </w:rPr>
        <w:t xml:space="preserve">has already been captured properly in the spec, the discussion </w:t>
      </w:r>
      <w:r w:rsidR="00971792">
        <w:rPr>
          <w:rFonts w:eastAsia="Malgun Gothic"/>
          <w:sz w:val="22"/>
          <w:lang w:eastAsia="de-DE"/>
        </w:rPr>
        <w:t xml:space="preserve">here </w:t>
      </w:r>
      <w:r>
        <w:rPr>
          <w:rFonts w:eastAsia="Malgun Gothic"/>
          <w:sz w:val="22"/>
          <w:lang w:eastAsia="de-DE"/>
        </w:rPr>
        <w:t xml:space="preserve">mainly focuses on the Rel-15 FGs. </w:t>
      </w:r>
    </w:p>
    <w:p w14:paraId="111AF296" w14:textId="40FCC20C" w:rsidR="00F3039E" w:rsidRDefault="000A591F">
      <w:pPr>
        <w:textAlignment w:val="auto"/>
        <w:rPr>
          <w:rFonts w:eastAsia="Malgun Gothic"/>
          <w:sz w:val="22"/>
          <w:lang w:eastAsia="de-DE"/>
        </w:rPr>
      </w:pPr>
      <w:r>
        <w:rPr>
          <w:rFonts w:eastAsia="等线" w:hint="eastAsia"/>
          <w:sz w:val="22"/>
          <w:lang w:eastAsia="zh-CN"/>
        </w:rPr>
        <w:t>T</w:t>
      </w:r>
      <w:r>
        <w:rPr>
          <w:rFonts w:eastAsia="等线"/>
          <w:sz w:val="22"/>
          <w:lang w:eastAsia="zh-CN"/>
        </w:rPr>
        <w:t>o make it clear f</w:t>
      </w:r>
      <w:r w:rsidR="00F3039E">
        <w:rPr>
          <w:rFonts w:eastAsia="Malgun Gothic"/>
          <w:sz w:val="22"/>
          <w:lang w:eastAsia="de-DE"/>
        </w:rPr>
        <w:t xml:space="preserve">or the Rel-15 FGs, an extra column </w:t>
      </w:r>
      <w:r w:rsidR="00971792">
        <w:rPr>
          <w:rFonts w:eastAsia="Malgun Gothic"/>
          <w:sz w:val="22"/>
          <w:lang w:eastAsia="de-DE"/>
        </w:rPr>
        <w:t xml:space="preserve">was </w:t>
      </w:r>
      <w:r w:rsidR="00F3039E">
        <w:rPr>
          <w:rFonts w:eastAsia="Malgun Gothic"/>
          <w:sz w:val="22"/>
          <w:lang w:eastAsia="de-DE"/>
        </w:rPr>
        <w:t xml:space="preserve">added </w:t>
      </w:r>
      <w:r>
        <w:rPr>
          <w:rFonts w:eastAsia="Malgun Gothic"/>
          <w:sz w:val="22"/>
          <w:lang w:eastAsia="de-DE"/>
        </w:rPr>
        <w:t xml:space="preserve">in the feature list based on the legacy table in 38.822 </w:t>
      </w:r>
      <w:r w:rsidR="00F3039E">
        <w:rPr>
          <w:rFonts w:eastAsia="Malgun Gothic"/>
          <w:sz w:val="22"/>
          <w:lang w:eastAsia="de-DE"/>
        </w:rPr>
        <w:t xml:space="preserve">to </w:t>
      </w:r>
      <w:r>
        <w:rPr>
          <w:rFonts w:eastAsia="Malgun Gothic"/>
          <w:sz w:val="22"/>
          <w:lang w:eastAsia="de-DE"/>
        </w:rPr>
        <w:t xml:space="preserve">indicate </w:t>
      </w:r>
      <w:r w:rsidR="00F3039E">
        <w:rPr>
          <w:rFonts w:eastAsia="Malgun Gothic"/>
          <w:sz w:val="22"/>
          <w:lang w:eastAsia="de-DE"/>
        </w:rPr>
        <w:t xml:space="preserve">whether </w:t>
      </w:r>
      <w:r>
        <w:rPr>
          <w:rFonts w:eastAsia="Malgun Gothic"/>
          <w:sz w:val="22"/>
          <w:lang w:eastAsia="de-DE"/>
        </w:rPr>
        <w:t>the existing</w:t>
      </w:r>
      <w:r w:rsidR="00F3039E">
        <w:rPr>
          <w:rFonts w:eastAsia="Malgun Gothic"/>
          <w:sz w:val="22"/>
          <w:lang w:eastAsia="de-DE"/>
        </w:rPr>
        <w:t xml:space="preserve"> UE features </w:t>
      </w:r>
      <w:r>
        <w:rPr>
          <w:rFonts w:eastAsia="Malgun Gothic"/>
          <w:sz w:val="22"/>
          <w:lang w:eastAsia="de-DE"/>
        </w:rPr>
        <w:t xml:space="preserve">are </w:t>
      </w:r>
      <w:r w:rsidR="00A301ED">
        <w:rPr>
          <w:rFonts w:eastAsia="Malgun Gothic"/>
          <w:sz w:val="22"/>
          <w:lang w:eastAsia="de-DE"/>
        </w:rPr>
        <w:t>mandatory</w:t>
      </w:r>
      <w:r>
        <w:rPr>
          <w:rFonts w:eastAsia="Malgun Gothic"/>
          <w:sz w:val="22"/>
          <w:lang w:eastAsia="de-DE"/>
        </w:rPr>
        <w:t xml:space="preserve">, </w:t>
      </w:r>
      <w:r w:rsidR="00A301ED">
        <w:rPr>
          <w:rFonts w:eastAsia="Malgun Gothic"/>
          <w:sz w:val="22"/>
          <w:lang w:eastAsia="de-DE"/>
        </w:rPr>
        <w:t>optional</w:t>
      </w:r>
      <w:r>
        <w:rPr>
          <w:rFonts w:eastAsia="Malgun Gothic"/>
          <w:sz w:val="22"/>
          <w:lang w:eastAsia="de-DE"/>
        </w:rPr>
        <w:t xml:space="preserve"> or </w:t>
      </w:r>
      <w:r w:rsidR="00A301ED">
        <w:rPr>
          <w:rFonts w:eastAsia="Malgun Gothic"/>
          <w:sz w:val="22"/>
          <w:lang w:eastAsia="de-DE"/>
        </w:rPr>
        <w:t>no</w:t>
      </w:r>
      <w:r>
        <w:rPr>
          <w:rFonts w:eastAsia="Malgun Gothic"/>
          <w:sz w:val="22"/>
          <w:lang w:eastAsia="de-DE"/>
        </w:rPr>
        <w:t xml:space="preserve">t </w:t>
      </w:r>
      <w:r w:rsidR="00A301ED">
        <w:rPr>
          <w:rFonts w:eastAsia="Malgun Gothic"/>
          <w:sz w:val="22"/>
          <w:lang w:eastAsia="de-DE"/>
        </w:rPr>
        <w:t>applicable</w:t>
      </w:r>
      <w:r w:rsidR="00F3039E">
        <w:rPr>
          <w:rFonts w:eastAsia="Malgun Gothic"/>
          <w:sz w:val="22"/>
          <w:lang w:eastAsia="de-DE"/>
        </w:rPr>
        <w:t xml:space="preserve"> </w:t>
      </w:r>
      <w:r>
        <w:rPr>
          <w:rFonts w:eastAsia="Malgun Gothic"/>
          <w:sz w:val="22"/>
          <w:lang w:eastAsia="de-DE"/>
        </w:rPr>
        <w:t xml:space="preserve">to </w:t>
      </w:r>
      <w:r w:rsidR="00F3039E">
        <w:rPr>
          <w:rFonts w:eastAsia="Malgun Gothic"/>
          <w:sz w:val="22"/>
          <w:lang w:eastAsia="de-DE"/>
        </w:rPr>
        <w:t>NCR-MT</w:t>
      </w:r>
      <w:r w:rsidR="00A301ED">
        <w:rPr>
          <w:rFonts w:eastAsia="Malgun Gothic"/>
          <w:sz w:val="22"/>
          <w:lang w:eastAsia="de-DE"/>
        </w:rPr>
        <w:t xml:space="preserve">. </w:t>
      </w:r>
      <w:r>
        <w:rPr>
          <w:rFonts w:eastAsia="Malgun Gothic"/>
          <w:sz w:val="22"/>
          <w:lang w:eastAsia="de-DE"/>
        </w:rPr>
        <w:t>Basically the Rel-15 FGs can be categorized into the following three groups for NCR-MT</w:t>
      </w:r>
      <w:r w:rsidR="003E1F75">
        <w:rPr>
          <w:rFonts w:eastAsia="Malgun Gothic"/>
          <w:sz w:val="22"/>
          <w:lang w:eastAsia="de-DE"/>
        </w:rPr>
        <w:t>:</w:t>
      </w:r>
    </w:p>
    <w:p w14:paraId="7BFAD439" w14:textId="5CF65DAD" w:rsidR="00BC70A8" w:rsidRPr="001C5FD1" w:rsidRDefault="000F213D" w:rsidP="001C5FD1">
      <w:pPr>
        <w:pStyle w:val="af8"/>
        <w:numPr>
          <w:ilvl w:val="1"/>
          <w:numId w:val="34"/>
        </w:numPr>
        <w:ind w:left="357" w:firstLineChars="0" w:hanging="357"/>
        <w:textAlignment w:val="auto"/>
        <w:outlineLvl w:val="1"/>
        <w:rPr>
          <w:rFonts w:ascii="Arial" w:eastAsia="Malgun Gothic" w:hAnsi="Arial" w:cs="Arial"/>
          <w:sz w:val="24"/>
          <w:lang w:eastAsia="de-DE"/>
        </w:rPr>
      </w:pPr>
      <w:r w:rsidRPr="001C5FD1">
        <w:rPr>
          <w:rFonts w:ascii="Arial" w:eastAsia="Malgun Gothic" w:hAnsi="Arial" w:cs="Arial"/>
          <w:sz w:val="28"/>
          <w:lang w:eastAsia="de-DE"/>
        </w:rPr>
        <w:t xml:space="preserve">FGs </w:t>
      </w:r>
      <w:r w:rsidR="001E2D39" w:rsidRPr="001C5FD1">
        <w:rPr>
          <w:rFonts w:ascii="Arial" w:eastAsia="Malgun Gothic" w:hAnsi="Arial" w:cs="Arial"/>
          <w:sz w:val="28"/>
          <w:lang w:eastAsia="de-DE"/>
        </w:rPr>
        <w:t xml:space="preserve">which are </w:t>
      </w:r>
      <w:r w:rsidR="003E1F75" w:rsidRPr="001C5FD1">
        <w:rPr>
          <w:rFonts w:ascii="Arial" w:eastAsia="Malgun Gothic" w:hAnsi="Arial" w:cs="Arial"/>
          <w:sz w:val="28"/>
          <w:lang w:eastAsia="de-DE"/>
        </w:rPr>
        <w:t>m</w:t>
      </w:r>
      <w:r w:rsidR="00076CA5" w:rsidRPr="001C5FD1">
        <w:rPr>
          <w:rFonts w:ascii="Arial" w:eastAsia="Malgun Gothic" w:hAnsi="Arial" w:cs="Arial"/>
          <w:sz w:val="28"/>
          <w:lang w:eastAsia="de-DE"/>
        </w:rPr>
        <w:t xml:space="preserve">andatory without </w:t>
      </w:r>
      <w:bookmarkStart w:id="3" w:name="_Hlk172731699"/>
      <w:r w:rsidR="004563F8" w:rsidRPr="001C5FD1">
        <w:rPr>
          <w:rFonts w:ascii="Arial" w:eastAsia="Malgun Gothic" w:hAnsi="Arial" w:cs="Arial"/>
          <w:sz w:val="28"/>
          <w:lang w:eastAsia="de-DE"/>
        </w:rPr>
        <w:t>capability</w:t>
      </w:r>
      <w:bookmarkEnd w:id="3"/>
      <w:r w:rsidR="004563F8" w:rsidRPr="001C5FD1">
        <w:rPr>
          <w:rFonts w:ascii="Arial" w:eastAsia="Malgun Gothic" w:hAnsi="Arial" w:cs="Arial"/>
          <w:sz w:val="28"/>
          <w:lang w:eastAsia="de-DE"/>
        </w:rPr>
        <w:t xml:space="preserve"> </w:t>
      </w:r>
      <w:r w:rsidR="00076CA5" w:rsidRPr="001C5FD1">
        <w:rPr>
          <w:rFonts w:ascii="Arial" w:eastAsia="Malgun Gothic" w:hAnsi="Arial" w:cs="Arial"/>
          <w:sz w:val="28"/>
          <w:lang w:eastAsia="de-DE"/>
        </w:rPr>
        <w:t xml:space="preserve">signalling for </w:t>
      </w:r>
      <w:r w:rsidR="00971792" w:rsidRPr="001C5FD1">
        <w:rPr>
          <w:rFonts w:ascii="Arial" w:eastAsia="Malgun Gothic" w:hAnsi="Arial" w:cs="Arial"/>
          <w:sz w:val="28"/>
          <w:lang w:eastAsia="de-DE"/>
        </w:rPr>
        <w:t>NCR-MT</w:t>
      </w:r>
      <w:r w:rsidR="00971792" w:rsidRPr="001C5FD1" w:rsidDel="00971792">
        <w:rPr>
          <w:rFonts w:ascii="Arial" w:eastAsia="Malgun Gothic" w:hAnsi="Arial" w:cs="Arial"/>
          <w:sz w:val="28"/>
          <w:lang w:eastAsia="de-DE"/>
        </w:rPr>
        <w:t xml:space="preserve"> </w:t>
      </w:r>
      <w:r w:rsidR="00076CA5" w:rsidRPr="001C5FD1">
        <w:rPr>
          <w:rFonts w:ascii="Arial" w:eastAsia="Malgun Gothic" w:hAnsi="Arial" w:cs="Arial"/>
          <w:sz w:val="24"/>
          <w:lang w:eastAsia="de-DE"/>
        </w:rPr>
        <w:t xml:space="preserve"> </w:t>
      </w:r>
    </w:p>
    <w:p w14:paraId="5D819B11" w14:textId="76595D3D" w:rsidR="00437FB6" w:rsidRDefault="00081B23">
      <w:pPr>
        <w:textAlignment w:val="auto"/>
        <w:rPr>
          <w:rFonts w:eastAsia="Malgun Gothic"/>
          <w:sz w:val="22"/>
          <w:lang w:eastAsia="de-DE"/>
        </w:rPr>
      </w:pPr>
      <w:r w:rsidRPr="001C5FD1">
        <w:rPr>
          <w:rFonts w:eastAsia="Malgun Gothic"/>
          <w:sz w:val="22"/>
          <w:lang w:eastAsia="de-DE"/>
        </w:rPr>
        <w:t xml:space="preserve">According to the feature list, the following FGs are mandatory without </w:t>
      </w:r>
      <w:r w:rsidR="004563F8" w:rsidRPr="004563F8">
        <w:rPr>
          <w:rFonts w:eastAsia="Malgun Gothic"/>
          <w:sz w:val="22"/>
          <w:lang w:eastAsia="de-DE"/>
        </w:rPr>
        <w:t>capability</w:t>
      </w:r>
      <w:r w:rsidR="004563F8" w:rsidRPr="006A3E29">
        <w:rPr>
          <w:rFonts w:eastAsia="Malgun Gothic"/>
          <w:sz w:val="22"/>
          <w:lang w:eastAsia="de-DE"/>
        </w:rPr>
        <w:t xml:space="preserve"> </w:t>
      </w:r>
      <w:r w:rsidRPr="001C5FD1">
        <w:rPr>
          <w:rFonts w:eastAsia="Malgun Gothic"/>
          <w:sz w:val="22"/>
          <w:lang w:eastAsia="de-DE"/>
        </w:rPr>
        <w:t>signalling for NCR-MT</w:t>
      </w:r>
      <w:r w:rsidR="004563F8">
        <w:rPr>
          <w:rFonts w:eastAsia="Malgun Gothic"/>
          <w:sz w:val="22"/>
          <w:lang w:eastAsia="de-DE"/>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67"/>
        <w:gridCol w:w="1276"/>
        <w:gridCol w:w="1701"/>
        <w:gridCol w:w="1134"/>
        <w:gridCol w:w="1134"/>
        <w:gridCol w:w="1460"/>
        <w:gridCol w:w="1516"/>
      </w:tblGrid>
      <w:tr w:rsidR="001C5FD1" w:rsidRPr="00496531" w14:paraId="7EA918A5" w14:textId="77777777" w:rsidTr="001C5FD1">
        <w:trPr>
          <w:jc w:val="center"/>
        </w:trPr>
        <w:tc>
          <w:tcPr>
            <w:tcW w:w="846" w:type="dxa"/>
            <w:hideMark/>
          </w:tcPr>
          <w:p w14:paraId="1AC55AC6"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lastRenderedPageBreak/>
              <w:t>Features</w:t>
            </w:r>
          </w:p>
        </w:tc>
        <w:tc>
          <w:tcPr>
            <w:tcW w:w="567" w:type="dxa"/>
            <w:hideMark/>
          </w:tcPr>
          <w:p w14:paraId="20381DFF"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Index</w:t>
            </w:r>
          </w:p>
        </w:tc>
        <w:tc>
          <w:tcPr>
            <w:tcW w:w="1276" w:type="dxa"/>
            <w:hideMark/>
          </w:tcPr>
          <w:p w14:paraId="23E37EBA"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Feature group</w:t>
            </w:r>
          </w:p>
        </w:tc>
        <w:tc>
          <w:tcPr>
            <w:tcW w:w="1701" w:type="dxa"/>
            <w:hideMark/>
          </w:tcPr>
          <w:p w14:paraId="69817D29"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Components</w:t>
            </w:r>
          </w:p>
        </w:tc>
        <w:tc>
          <w:tcPr>
            <w:tcW w:w="1134" w:type="dxa"/>
            <w:hideMark/>
          </w:tcPr>
          <w:p w14:paraId="27AB74B3"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Need of FDD/TDD differentiation</w:t>
            </w:r>
          </w:p>
        </w:tc>
        <w:tc>
          <w:tcPr>
            <w:tcW w:w="1134" w:type="dxa"/>
            <w:hideMark/>
          </w:tcPr>
          <w:p w14:paraId="77A8B298"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Need of FR1/FR2 differentiation</w:t>
            </w:r>
          </w:p>
        </w:tc>
        <w:tc>
          <w:tcPr>
            <w:tcW w:w="1460" w:type="dxa"/>
            <w:hideMark/>
          </w:tcPr>
          <w:p w14:paraId="1DD85A92" w14:textId="77777777" w:rsidR="001C5FD1" w:rsidRPr="00496531" w:rsidRDefault="001C5FD1" w:rsidP="001C5FD1">
            <w:pPr>
              <w:keepNext/>
              <w:keepLines/>
              <w:spacing w:after="0"/>
              <w:jc w:val="center"/>
              <w:textAlignment w:val="auto"/>
              <w:rPr>
                <w:rFonts w:ascii="Arial" w:hAnsi="Arial" w:cs="Arial"/>
                <w:b/>
                <w:sz w:val="13"/>
              </w:rPr>
            </w:pPr>
            <w:r w:rsidRPr="00496531">
              <w:rPr>
                <w:rFonts w:ascii="Arial" w:hAnsi="Arial" w:cs="Arial"/>
                <w:b/>
                <w:sz w:val="13"/>
              </w:rPr>
              <w:t>Note</w:t>
            </w:r>
          </w:p>
        </w:tc>
        <w:tc>
          <w:tcPr>
            <w:tcW w:w="1516" w:type="dxa"/>
            <w:shd w:val="clear" w:color="auto" w:fill="FFFF00"/>
          </w:tcPr>
          <w:p w14:paraId="10175581" w14:textId="77777777" w:rsidR="001C5FD1" w:rsidRPr="00496531" w:rsidRDefault="001C5FD1" w:rsidP="001C5FD1">
            <w:pPr>
              <w:keepNext/>
              <w:keepLines/>
              <w:spacing w:after="0"/>
              <w:jc w:val="center"/>
              <w:textAlignment w:val="auto"/>
              <w:rPr>
                <w:rFonts w:ascii="Arial" w:eastAsia="宋体" w:hAnsi="Arial" w:cs="Arial"/>
                <w:b/>
                <w:sz w:val="13"/>
                <w:lang w:val="en-US" w:eastAsia="zh-CN"/>
              </w:rPr>
            </w:pPr>
            <w:r w:rsidRPr="00496531">
              <w:rPr>
                <w:rFonts w:ascii="Arial" w:eastAsia="宋体" w:hAnsi="Arial" w:cs="Arial"/>
                <w:b/>
                <w:sz w:val="13"/>
                <w:lang w:val="en-US" w:eastAsia="zh-CN"/>
              </w:rPr>
              <w:t>NCR-MT</w:t>
            </w:r>
          </w:p>
          <w:p w14:paraId="6A37EDC2" w14:textId="77777777" w:rsidR="001C5FD1" w:rsidRPr="00496531" w:rsidRDefault="001C5FD1" w:rsidP="001C5FD1">
            <w:pPr>
              <w:keepNext/>
              <w:keepLines/>
              <w:spacing w:after="0"/>
              <w:jc w:val="center"/>
              <w:textAlignment w:val="auto"/>
              <w:rPr>
                <w:rFonts w:ascii="Arial" w:eastAsia="宋体" w:hAnsi="Arial" w:cs="Arial"/>
                <w:b/>
                <w:sz w:val="13"/>
                <w:lang w:val="en-US" w:eastAsia="zh-CN"/>
              </w:rPr>
            </w:pPr>
          </w:p>
        </w:tc>
      </w:tr>
      <w:tr w:rsidR="001C5FD1" w:rsidRPr="00496531" w14:paraId="5896FEE9" w14:textId="77777777" w:rsidTr="001C5FD1">
        <w:trPr>
          <w:jc w:val="center"/>
        </w:trPr>
        <w:tc>
          <w:tcPr>
            <w:tcW w:w="846" w:type="dxa"/>
            <w:hideMark/>
          </w:tcPr>
          <w:p w14:paraId="382364BB" w14:textId="77777777" w:rsidR="001C5FD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System parameter</w:t>
            </w:r>
          </w:p>
          <w:p w14:paraId="40DC3E43" w14:textId="77777777" w:rsidR="001C5FD1" w:rsidRDefault="001C5FD1" w:rsidP="001C5FD1">
            <w:pPr>
              <w:rPr>
                <w:rFonts w:ascii="Arial" w:eastAsia="宋体" w:hAnsi="Arial" w:cs="Arial"/>
                <w:sz w:val="13"/>
                <w:lang w:eastAsia="en-US"/>
              </w:rPr>
            </w:pPr>
          </w:p>
          <w:p w14:paraId="5C4D727F" w14:textId="77777777" w:rsidR="001C5FD1" w:rsidRPr="001C5FD1" w:rsidRDefault="001C5FD1" w:rsidP="001C5FD1">
            <w:pPr>
              <w:rPr>
                <w:rFonts w:ascii="Arial" w:eastAsia="宋体" w:hAnsi="Arial" w:cs="Arial"/>
                <w:sz w:val="13"/>
                <w:lang w:eastAsia="en-US"/>
              </w:rPr>
            </w:pPr>
          </w:p>
        </w:tc>
        <w:tc>
          <w:tcPr>
            <w:tcW w:w="567" w:type="dxa"/>
            <w:hideMark/>
          </w:tcPr>
          <w:p w14:paraId="222E4A08"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1-3</w:t>
            </w:r>
          </w:p>
        </w:tc>
        <w:tc>
          <w:tcPr>
            <w:tcW w:w="1276" w:type="dxa"/>
            <w:hideMark/>
          </w:tcPr>
          <w:p w14:paraId="64DACADA"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64QAM for PUSCH</w:t>
            </w:r>
          </w:p>
        </w:tc>
        <w:tc>
          <w:tcPr>
            <w:tcW w:w="1701" w:type="dxa"/>
            <w:hideMark/>
          </w:tcPr>
          <w:p w14:paraId="38A50502"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64QAM for PUSCH</w:t>
            </w:r>
          </w:p>
        </w:tc>
        <w:tc>
          <w:tcPr>
            <w:tcW w:w="1134" w:type="dxa"/>
            <w:hideMark/>
          </w:tcPr>
          <w:p w14:paraId="2DBDE236"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689C0C34"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458D17E2"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Capability can be discussed in future, e.g. when low cost device (e.g. IoT) and/or higher frequency band in FR2 are introduced</w:t>
            </w:r>
          </w:p>
        </w:tc>
        <w:tc>
          <w:tcPr>
            <w:tcW w:w="1516" w:type="dxa"/>
            <w:shd w:val="clear" w:color="auto" w:fill="FFFF00"/>
            <w:hideMark/>
          </w:tcPr>
          <w:p w14:paraId="50DA0FA5"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CE4B00">
              <w:rPr>
                <w:rFonts w:ascii="Arial" w:eastAsia="宋体" w:hAnsi="Arial" w:cs="Arial"/>
                <w:sz w:val="13"/>
                <w:lang w:val="en-US" w:eastAsia="zh-CN"/>
              </w:rPr>
              <w:t>mandatory</w:t>
            </w:r>
            <w:r w:rsidRPr="00CE4B00">
              <w:rPr>
                <w:rFonts w:ascii="Arial" w:eastAsia="宋体" w:hAnsi="Arial" w:cs="Arial"/>
                <w:sz w:val="13"/>
                <w:lang w:eastAsia="en-US"/>
              </w:rPr>
              <w:t xml:space="preserve"> with</w:t>
            </w:r>
            <w:r w:rsidRPr="00CE4B00">
              <w:rPr>
                <w:rFonts w:ascii="Arial" w:eastAsia="宋体" w:hAnsi="Arial" w:cs="Arial"/>
                <w:sz w:val="13"/>
                <w:lang w:val="en-US" w:eastAsia="zh-CN"/>
              </w:rPr>
              <w:t>out</w:t>
            </w:r>
            <w:r w:rsidRPr="00CE4B00">
              <w:rPr>
                <w:rFonts w:ascii="Arial" w:eastAsia="宋体" w:hAnsi="Arial" w:cs="Arial"/>
                <w:sz w:val="13"/>
                <w:lang w:eastAsia="en-US"/>
              </w:rPr>
              <w:t xml:space="preserve"> capability signalling</w:t>
            </w:r>
          </w:p>
        </w:tc>
      </w:tr>
      <w:tr w:rsidR="001C5FD1" w:rsidRPr="00496531" w14:paraId="08CF9926" w14:textId="77777777" w:rsidTr="001C5FD1">
        <w:trPr>
          <w:trHeight w:val="1124"/>
          <w:jc w:val="center"/>
        </w:trPr>
        <w:tc>
          <w:tcPr>
            <w:tcW w:w="846" w:type="dxa"/>
            <w:hideMark/>
          </w:tcPr>
          <w:p w14:paraId="33BE25E9"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UE RF</w:t>
            </w:r>
          </w:p>
        </w:tc>
        <w:tc>
          <w:tcPr>
            <w:tcW w:w="567" w:type="dxa"/>
            <w:hideMark/>
          </w:tcPr>
          <w:p w14:paraId="20C11963"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2-10</w:t>
            </w:r>
          </w:p>
          <w:p w14:paraId="2AF7B838"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276" w:type="dxa"/>
            <w:hideMark/>
          </w:tcPr>
          <w:p w14:paraId="7C62FA3B"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Multiple frequency band indication</w:t>
            </w:r>
          </w:p>
          <w:p w14:paraId="7C26AAFB"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701" w:type="dxa"/>
            <w:hideMark/>
          </w:tcPr>
          <w:p w14:paraId="727A61A2"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Multiple frequency band indication</w:t>
            </w:r>
          </w:p>
          <w:p w14:paraId="5C0066D5"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134" w:type="dxa"/>
            <w:hideMark/>
          </w:tcPr>
          <w:p w14:paraId="1675D146"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p w14:paraId="40EA2061"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134" w:type="dxa"/>
            <w:hideMark/>
          </w:tcPr>
          <w:p w14:paraId="70E8FAAF"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p w14:paraId="34E5F66C"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460" w:type="dxa"/>
          </w:tcPr>
          <w:p w14:paraId="752B67F8"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UE capability</w:t>
            </w:r>
          </w:p>
          <w:p w14:paraId="1D409406"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517B78A1" w14:textId="77777777" w:rsidR="001C5FD1" w:rsidRPr="00496531" w:rsidRDefault="001C5FD1" w:rsidP="001C5FD1">
            <w:pPr>
              <w:keepNext/>
              <w:keepLines/>
              <w:overflowPunct/>
              <w:autoSpaceDE/>
              <w:autoSpaceDN/>
              <w:adjustRightInd/>
              <w:spacing w:after="0"/>
              <w:textAlignment w:val="auto"/>
              <w:rPr>
                <w:rFonts w:ascii="Arial" w:eastAsia="宋体" w:hAnsi="Arial" w:cs="Arial"/>
                <w:sz w:val="13"/>
                <w:lang w:val="en-US" w:eastAsia="zh-CN"/>
              </w:rPr>
            </w:pPr>
            <w:r w:rsidRPr="00CE4B00">
              <w:rPr>
                <w:rFonts w:ascii="Arial" w:eastAsia="宋体" w:hAnsi="Arial" w:cs="Arial"/>
                <w:sz w:val="13"/>
                <w:lang w:val="en-US" w:eastAsia="zh-CN"/>
              </w:rPr>
              <w:t>mandatory</w:t>
            </w:r>
            <w:r w:rsidRPr="00CE4B00">
              <w:rPr>
                <w:rFonts w:ascii="Arial" w:eastAsia="宋体" w:hAnsi="Arial" w:cs="Arial"/>
                <w:sz w:val="13"/>
                <w:lang w:eastAsia="en-US"/>
              </w:rPr>
              <w:t xml:space="preserve"> with</w:t>
            </w:r>
            <w:r w:rsidRPr="00CE4B00">
              <w:rPr>
                <w:rFonts w:ascii="Arial" w:eastAsia="宋体" w:hAnsi="Arial" w:cs="Arial"/>
                <w:sz w:val="13"/>
                <w:lang w:val="en-US" w:eastAsia="zh-CN"/>
              </w:rPr>
              <w:t>out</w:t>
            </w:r>
            <w:r w:rsidRPr="00CE4B00">
              <w:rPr>
                <w:rFonts w:ascii="Arial" w:eastAsia="宋体" w:hAnsi="Arial" w:cs="Arial"/>
                <w:sz w:val="13"/>
                <w:lang w:eastAsia="en-US"/>
              </w:rPr>
              <w:t xml:space="preserve"> capability signalling</w:t>
            </w:r>
          </w:p>
        </w:tc>
      </w:tr>
    </w:tbl>
    <w:p w14:paraId="1D686D4B" w14:textId="7F81D16F" w:rsidR="009B74AA" w:rsidRDefault="004563F8" w:rsidP="004563F8">
      <w:pPr>
        <w:spacing w:beforeLines="50" w:before="120" w:after="120"/>
        <w:textAlignment w:val="auto"/>
      </w:pPr>
      <w:r>
        <w:rPr>
          <w:rFonts w:eastAsia="等线" w:hint="eastAsia"/>
          <w:sz w:val="22"/>
          <w:lang w:eastAsia="zh-CN"/>
        </w:rPr>
        <w:t>T</w:t>
      </w:r>
      <w:r>
        <w:rPr>
          <w:rFonts w:eastAsia="等线"/>
          <w:sz w:val="22"/>
          <w:lang w:eastAsia="zh-CN"/>
        </w:rPr>
        <w:t xml:space="preserve">hese two FGs should be kept in </w:t>
      </w:r>
      <w:r>
        <w:t xml:space="preserve">Table 4.2.23.1-3 </w:t>
      </w:r>
      <w:r w:rsidR="003A3037">
        <w:t>of</w:t>
      </w:r>
      <w:r>
        <w:t xml:space="preserve"> TS</w:t>
      </w:r>
      <w:r w:rsidR="009D5628">
        <w:t xml:space="preserve"> </w:t>
      </w:r>
      <w:r>
        <w:t>38.306.</w:t>
      </w:r>
      <w:r w:rsidR="003A3037">
        <w:t xml:space="preserve"> Other FGs should be removed</w:t>
      </w:r>
      <w:r w:rsidR="003A3037" w:rsidRPr="003A3037">
        <w:t xml:space="preserve"> </w:t>
      </w:r>
      <w:r w:rsidR="003A3037">
        <w:t>from Table 4.2.23.1-3.</w:t>
      </w:r>
    </w:p>
    <w:p w14:paraId="2C010B9A" w14:textId="5D332139" w:rsidR="003A3037" w:rsidRPr="001C5FD1" w:rsidRDefault="003A3037" w:rsidP="001C5FD1">
      <w:pPr>
        <w:spacing w:beforeLines="50" w:before="120" w:after="120"/>
        <w:textAlignment w:val="auto"/>
        <w:rPr>
          <w:rFonts w:eastAsia="等线"/>
          <w:b/>
          <w:sz w:val="22"/>
          <w:lang w:eastAsia="zh-CN"/>
        </w:rPr>
      </w:pPr>
      <w:r w:rsidRPr="001C5FD1">
        <w:rPr>
          <w:rFonts w:eastAsia="等线"/>
          <w:b/>
          <w:sz w:val="22"/>
          <w:lang w:eastAsia="zh-CN"/>
        </w:rPr>
        <w:t>Proposal 1:</w:t>
      </w:r>
      <w:r>
        <w:rPr>
          <w:rFonts w:eastAsia="等线"/>
          <w:b/>
          <w:sz w:val="22"/>
          <w:lang w:eastAsia="zh-CN"/>
        </w:rPr>
        <w:t xml:space="preserve"> Remove the FGs from </w:t>
      </w:r>
      <w:r w:rsidRPr="003A3037">
        <w:rPr>
          <w:rFonts w:eastAsia="等线"/>
          <w:b/>
          <w:sz w:val="22"/>
          <w:lang w:eastAsia="zh-CN"/>
        </w:rPr>
        <w:t>Table 4.2.23.1-3</w:t>
      </w:r>
      <w:r>
        <w:rPr>
          <w:rFonts w:eastAsia="等线"/>
          <w:b/>
          <w:sz w:val="22"/>
          <w:lang w:eastAsia="zh-CN"/>
        </w:rPr>
        <w:t xml:space="preserve"> of TS</w:t>
      </w:r>
      <w:r w:rsidR="00D5208D">
        <w:rPr>
          <w:rFonts w:eastAsia="等线"/>
          <w:b/>
          <w:sz w:val="22"/>
          <w:lang w:eastAsia="zh-CN"/>
        </w:rPr>
        <w:t xml:space="preserve"> </w:t>
      </w:r>
      <w:r>
        <w:rPr>
          <w:rFonts w:eastAsia="等线"/>
          <w:b/>
          <w:sz w:val="22"/>
          <w:lang w:eastAsia="zh-CN"/>
        </w:rPr>
        <w:t>38.306, except for FG1-3 and FG2-10.</w:t>
      </w:r>
    </w:p>
    <w:p w14:paraId="5262428A" w14:textId="77777777" w:rsidR="001C0F58" w:rsidRPr="001C5FD1" w:rsidRDefault="001C0F58" w:rsidP="001C5FD1">
      <w:pPr>
        <w:rPr>
          <w:rFonts w:eastAsia="Malgun Gothic"/>
          <w:b/>
          <w:lang w:eastAsia="de-DE"/>
        </w:rPr>
      </w:pPr>
    </w:p>
    <w:p w14:paraId="55787357" w14:textId="7B58A42E" w:rsidR="00076CA5" w:rsidRPr="001C5FD1" w:rsidRDefault="001E2D39" w:rsidP="001C5FD1">
      <w:pPr>
        <w:pStyle w:val="af8"/>
        <w:numPr>
          <w:ilvl w:val="1"/>
          <w:numId w:val="34"/>
        </w:numPr>
        <w:ind w:left="357" w:firstLineChars="0" w:hanging="357"/>
        <w:textAlignment w:val="auto"/>
        <w:outlineLvl w:val="1"/>
        <w:rPr>
          <w:rFonts w:ascii="Arial" w:eastAsia="Malgun Gothic" w:hAnsi="Arial" w:cs="Arial"/>
          <w:sz w:val="28"/>
          <w:lang w:eastAsia="de-DE"/>
        </w:rPr>
      </w:pPr>
      <w:r w:rsidRPr="001C5FD1">
        <w:rPr>
          <w:rFonts w:ascii="Arial" w:eastAsia="Malgun Gothic" w:hAnsi="Arial" w:cs="Arial"/>
          <w:sz w:val="28"/>
          <w:lang w:eastAsia="de-DE"/>
        </w:rPr>
        <w:t xml:space="preserve">FGs which are </w:t>
      </w:r>
      <w:r w:rsidR="000F213D" w:rsidRPr="001C5FD1">
        <w:rPr>
          <w:rFonts w:ascii="Arial" w:eastAsia="Malgun Gothic" w:hAnsi="Arial" w:cs="Arial"/>
          <w:sz w:val="28"/>
          <w:lang w:eastAsia="de-DE"/>
        </w:rPr>
        <w:t>not applicable to NCR-MT</w:t>
      </w:r>
    </w:p>
    <w:p w14:paraId="75205DAC" w14:textId="29953183" w:rsidR="003A3037" w:rsidRPr="001C5FD1" w:rsidRDefault="003A3037" w:rsidP="001C5FD1">
      <w:pPr>
        <w:textAlignment w:val="auto"/>
        <w:rPr>
          <w:rFonts w:eastAsia="Malgun Gothic"/>
          <w:sz w:val="22"/>
          <w:lang w:eastAsia="de-DE"/>
        </w:rPr>
      </w:pPr>
      <w:r w:rsidRPr="001C5FD1">
        <w:rPr>
          <w:rFonts w:eastAsia="Malgun Gothic"/>
          <w:sz w:val="22"/>
          <w:lang w:eastAsia="de-DE"/>
        </w:rPr>
        <w:t>According to the feature list, the following FGs are not applicable for NCR-MT: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67"/>
        <w:gridCol w:w="1276"/>
        <w:gridCol w:w="1701"/>
        <w:gridCol w:w="1134"/>
        <w:gridCol w:w="1134"/>
        <w:gridCol w:w="1460"/>
        <w:gridCol w:w="1516"/>
      </w:tblGrid>
      <w:tr w:rsidR="003A3037" w:rsidRPr="00496531" w14:paraId="688A2B21" w14:textId="77777777" w:rsidTr="001C5FD1">
        <w:trPr>
          <w:jc w:val="center"/>
        </w:trPr>
        <w:tc>
          <w:tcPr>
            <w:tcW w:w="846" w:type="dxa"/>
            <w:hideMark/>
          </w:tcPr>
          <w:p w14:paraId="3E7B3F73"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Features</w:t>
            </w:r>
          </w:p>
        </w:tc>
        <w:tc>
          <w:tcPr>
            <w:tcW w:w="567" w:type="dxa"/>
            <w:hideMark/>
          </w:tcPr>
          <w:p w14:paraId="193DE9A2"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Index</w:t>
            </w:r>
          </w:p>
        </w:tc>
        <w:tc>
          <w:tcPr>
            <w:tcW w:w="1276" w:type="dxa"/>
            <w:hideMark/>
          </w:tcPr>
          <w:p w14:paraId="7738B0EF"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Feature group</w:t>
            </w:r>
          </w:p>
        </w:tc>
        <w:tc>
          <w:tcPr>
            <w:tcW w:w="1701" w:type="dxa"/>
            <w:hideMark/>
          </w:tcPr>
          <w:p w14:paraId="54E8ACCC"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Components</w:t>
            </w:r>
          </w:p>
        </w:tc>
        <w:tc>
          <w:tcPr>
            <w:tcW w:w="1134" w:type="dxa"/>
            <w:hideMark/>
          </w:tcPr>
          <w:p w14:paraId="7D39DE34"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Need of FDD/TDD differentiation</w:t>
            </w:r>
          </w:p>
        </w:tc>
        <w:tc>
          <w:tcPr>
            <w:tcW w:w="1134" w:type="dxa"/>
            <w:hideMark/>
          </w:tcPr>
          <w:p w14:paraId="300E77C3"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Need of FR1/FR2 differentiation</w:t>
            </w:r>
          </w:p>
        </w:tc>
        <w:tc>
          <w:tcPr>
            <w:tcW w:w="1460" w:type="dxa"/>
            <w:hideMark/>
          </w:tcPr>
          <w:p w14:paraId="36154BE2" w14:textId="77777777" w:rsidR="003A3037" w:rsidRPr="00496531" w:rsidRDefault="003A3037" w:rsidP="001C5FD1">
            <w:pPr>
              <w:keepNext/>
              <w:keepLines/>
              <w:spacing w:after="0"/>
              <w:jc w:val="center"/>
              <w:textAlignment w:val="auto"/>
              <w:rPr>
                <w:rFonts w:ascii="Arial" w:hAnsi="Arial" w:cs="Arial"/>
                <w:b/>
                <w:sz w:val="13"/>
              </w:rPr>
            </w:pPr>
            <w:r w:rsidRPr="00496531">
              <w:rPr>
                <w:rFonts w:ascii="Arial" w:hAnsi="Arial" w:cs="Arial"/>
                <w:b/>
                <w:sz w:val="13"/>
              </w:rPr>
              <w:t>Note</w:t>
            </w:r>
          </w:p>
        </w:tc>
        <w:tc>
          <w:tcPr>
            <w:tcW w:w="1516" w:type="dxa"/>
            <w:shd w:val="clear" w:color="auto" w:fill="FFFF00"/>
          </w:tcPr>
          <w:p w14:paraId="6A0CE0FC" w14:textId="77777777" w:rsidR="003A3037" w:rsidRPr="00496531" w:rsidRDefault="003A3037" w:rsidP="001C5FD1">
            <w:pPr>
              <w:keepNext/>
              <w:keepLines/>
              <w:spacing w:after="0"/>
              <w:jc w:val="center"/>
              <w:textAlignment w:val="auto"/>
              <w:rPr>
                <w:rFonts w:ascii="Arial" w:eastAsia="宋体" w:hAnsi="Arial" w:cs="Arial"/>
                <w:b/>
                <w:sz w:val="13"/>
                <w:lang w:val="en-US" w:eastAsia="zh-CN"/>
              </w:rPr>
            </w:pPr>
            <w:r w:rsidRPr="00496531">
              <w:rPr>
                <w:rFonts w:ascii="Arial" w:eastAsia="宋体" w:hAnsi="Arial" w:cs="Arial"/>
                <w:b/>
                <w:sz w:val="13"/>
                <w:lang w:val="en-US" w:eastAsia="zh-CN"/>
              </w:rPr>
              <w:t>NCR-MT</w:t>
            </w:r>
          </w:p>
          <w:p w14:paraId="0B20131E" w14:textId="77777777" w:rsidR="003A3037" w:rsidRPr="00496531" w:rsidRDefault="003A3037" w:rsidP="001C5FD1">
            <w:pPr>
              <w:keepNext/>
              <w:keepLines/>
              <w:spacing w:after="0"/>
              <w:jc w:val="center"/>
              <w:textAlignment w:val="auto"/>
              <w:rPr>
                <w:rFonts w:ascii="Arial" w:eastAsia="宋体" w:hAnsi="Arial" w:cs="Arial"/>
                <w:b/>
                <w:sz w:val="13"/>
                <w:lang w:val="en-US" w:eastAsia="zh-CN"/>
              </w:rPr>
            </w:pPr>
          </w:p>
        </w:tc>
      </w:tr>
      <w:tr w:rsidR="00C6569E" w:rsidRPr="00496531" w14:paraId="6A3A0539" w14:textId="77777777" w:rsidTr="001C5FD1">
        <w:trPr>
          <w:jc w:val="center"/>
        </w:trPr>
        <w:tc>
          <w:tcPr>
            <w:tcW w:w="846" w:type="dxa"/>
            <w:vMerge w:val="restart"/>
            <w:hideMark/>
          </w:tcPr>
          <w:p w14:paraId="17A58AE6"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System parameter</w:t>
            </w:r>
          </w:p>
        </w:tc>
        <w:tc>
          <w:tcPr>
            <w:tcW w:w="567" w:type="dxa"/>
            <w:hideMark/>
          </w:tcPr>
          <w:p w14:paraId="44CE6156" w14:textId="36BF5D80"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1-9</w:t>
            </w:r>
          </w:p>
        </w:tc>
        <w:tc>
          <w:tcPr>
            <w:tcW w:w="1276" w:type="dxa"/>
            <w:hideMark/>
          </w:tcPr>
          <w:p w14:paraId="3C78FA88" w14:textId="5E03C635"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EN-DC with LTE-NR coexistence in UL sharing from UE perspective</w:t>
            </w:r>
          </w:p>
        </w:tc>
        <w:tc>
          <w:tcPr>
            <w:tcW w:w="1701" w:type="dxa"/>
            <w:hideMark/>
          </w:tcPr>
          <w:p w14:paraId="5D714D8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LTE and NR UL Transmission in the shared carrier via TDM only</w:t>
            </w:r>
          </w:p>
          <w:p w14:paraId="5EB8ADA1"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LTE and NR UL Transmission in the shared carrier via FDM only</w:t>
            </w:r>
          </w:p>
          <w:p w14:paraId="08300887" w14:textId="6DE9D50C"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 LTE and NR UL transmission in the shared carrier via FDM or TDM</w:t>
            </w:r>
          </w:p>
        </w:tc>
        <w:tc>
          <w:tcPr>
            <w:tcW w:w="1134" w:type="dxa"/>
            <w:hideMark/>
          </w:tcPr>
          <w:p w14:paraId="35C3E3B5" w14:textId="7B700162"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3703673A" w14:textId="519A9CD2"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tcPr>
          <w:p w14:paraId="189BF90F"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32AE77E3" w14:textId="2B29FB2D"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3A3037" w:rsidRPr="00496531" w14:paraId="51BE41CB" w14:textId="77777777" w:rsidTr="001C5FD1">
        <w:trPr>
          <w:jc w:val="center"/>
        </w:trPr>
        <w:tc>
          <w:tcPr>
            <w:tcW w:w="846" w:type="dxa"/>
            <w:vMerge/>
            <w:vAlign w:val="center"/>
            <w:hideMark/>
          </w:tcPr>
          <w:p w14:paraId="4B8EBDAC"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3E0F434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1-10</w:t>
            </w:r>
          </w:p>
        </w:tc>
        <w:tc>
          <w:tcPr>
            <w:tcW w:w="1276" w:type="dxa"/>
            <w:hideMark/>
          </w:tcPr>
          <w:p w14:paraId="6A93F14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Switching time between LTE UL and NR UL for EN-DC with LTE-NR coexistence in UL sharing from UE perspective</w:t>
            </w:r>
          </w:p>
        </w:tc>
        <w:tc>
          <w:tcPr>
            <w:tcW w:w="1701" w:type="dxa"/>
            <w:hideMark/>
          </w:tcPr>
          <w:p w14:paraId="489CE4E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Support of switching type between LTE UL and NR UL for EN-DC with LTE-NR coexistence in UL sharing from UE perspective. </w:t>
            </w:r>
          </w:p>
          <w:p w14:paraId="460621C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Type 1: &lt;0.5us</w:t>
            </w:r>
          </w:p>
          <w:p w14:paraId="744B6B9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Type 2: &lt;20us</w:t>
            </w:r>
          </w:p>
        </w:tc>
        <w:tc>
          <w:tcPr>
            <w:tcW w:w="1134" w:type="dxa"/>
            <w:hideMark/>
          </w:tcPr>
          <w:p w14:paraId="0C6A9F6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7172D4EA"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tcPr>
          <w:p w14:paraId="5D5EF75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This feature is the switching time between LTE UL and NR UL in the same carrier</w:t>
            </w:r>
          </w:p>
          <w:p w14:paraId="1F429DE4"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59B007E5"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combination signalling</w:t>
            </w:r>
          </w:p>
          <w:p w14:paraId="512BD4C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198DAD8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UE Capability signalling elements. </w:t>
            </w:r>
          </w:p>
          <w:p w14:paraId="6B47F85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&lt;0.5us switching type.</w:t>
            </w:r>
          </w:p>
          <w:p w14:paraId="430E7CE4"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&lt;20us switching type.</w:t>
            </w:r>
          </w:p>
        </w:tc>
        <w:tc>
          <w:tcPr>
            <w:tcW w:w="1516" w:type="dxa"/>
            <w:shd w:val="clear" w:color="auto" w:fill="FFFF00"/>
            <w:hideMark/>
          </w:tcPr>
          <w:p w14:paraId="1DDA10A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3A3037" w:rsidRPr="00496531" w14:paraId="3B6E71F9" w14:textId="77777777" w:rsidTr="001C5FD1">
        <w:trPr>
          <w:jc w:val="center"/>
        </w:trPr>
        <w:tc>
          <w:tcPr>
            <w:tcW w:w="846" w:type="dxa"/>
            <w:vMerge/>
            <w:vAlign w:val="center"/>
            <w:hideMark/>
          </w:tcPr>
          <w:p w14:paraId="0AEEE224"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shd w:val="clear" w:color="auto" w:fill="92D050"/>
            <w:hideMark/>
          </w:tcPr>
          <w:p w14:paraId="096626F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1-11</w:t>
            </w:r>
          </w:p>
        </w:tc>
        <w:tc>
          <w:tcPr>
            <w:tcW w:w="1276" w:type="dxa"/>
            <w:hideMark/>
          </w:tcPr>
          <w:p w14:paraId="2EF0B74E"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bookmarkStart w:id="4" w:name="_Hlk173831581"/>
            <w:r w:rsidRPr="00496531">
              <w:rPr>
                <w:rFonts w:ascii="Arial" w:eastAsia="宋体" w:hAnsi="Arial" w:cs="Arial"/>
                <w:sz w:val="13"/>
                <w:lang w:eastAsia="en-US"/>
              </w:rPr>
              <w:t>7.5kHz UL raster shift</w:t>
            </w:r>
            <w:bookmarkEnd w:id="4"/>
          </w:p>
        </w:tc>
        <w:tc>
          <w:tcPr>
            <w:tcW w:w="1701" w:type="dxa"/>
            <w:hideMark/>
          </w:tcPr>
          <w:p w14:paraId="63B4F75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7.5kHz UL raster shift</w:t>
            </w:r>
          </w:p>
        </w:tc>
        <w:tc>
          <w:tcPr>
            <w:tcW w:w="1134" w:type="dxa"/>
            <w:hideMark/>
          </w:tcPr>
          <w:p w14:paraId="308098F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5078506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32B287F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0617002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C6569E" w:rsidRPr="00496531" w14:paraId="3E187944" w14:textId="77777777" w:rsidTr="001C5FD1">
        <w:trPr>
          <w:trHeight w:val="117"/>
          <w:jc w:val="center"/>
        </w:trPr>
        <w:tc>
          <w:tcPr>
            <w:tcW w:w="846" w:type="dxa"/>
            <w:vMerge w:val="restart"/>
            <w:hideMark/>
          </w:tcPr>
          <w:p w14:paraId="17173D11"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lastRenderedPageBreak/>
              <w:t>2. UE RF</w:t>
            </w:r>
          </w:p>
        </w:tc>
        <w:tc>
          <w:tcPr>
            <w:tcW w:w="567" w:type="dxa"/>
          </w:tcPr>
          <w:p w14:paraId="718E8652" w14:textId="5F9F355C"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2-2</w:t>
            </w:r>
          </w:p>
        </w:tc>
        <w:tc>
          <w:tcPr>
            <w:tcW w:w="1276" w:type="dxa"/>
          </w:tcPr>
          <w:p w14:paraId="03C3ED21" w14:textId="79CEF7D0"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or transmission with same or different numerologies in CA</w:t>
            </w:r>
          </w:p>
        </w:tc>
        <w:tc>
          <w:tcPr>
            <w:tcW w:w="1701" w:type="dxa"/>
          </w:tcPr>
          <w:p w14:paraId="7F6E8EE5" w14:textId="1405EE43"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simultaneous reception or transmission with same or different numerologies in CA</w:t>
            </w:r>
          </w:p>
        </w:tc>
        <w:tc>
          <w:tcPr>
            <w:tcW w:w="1134" w:type="dxa"/>
          </w:tcPr>
          <w:p w14:paraId="4F6CE9F1" w14:textId="42923204"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tcPr>
          <w:p w14:paraId="20579B0B" w14:textId="7D95ADB3"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72359B98"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From RAN4 perspective UE shall be able to signal the supported SCS per CC for each band combination</w:t>
            </w:r>
          </w:p>
          <w:p w14:paraId="0D9F01E5"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p w14:paraId="2818626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Same numerology for intra-band NR CA including both continuous and non-continuous is mandatory support for Rel15</w:t>
            </w:r>
          </w:p>
          <w:p w14:paraId="4A846D80"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p w14:paraId="55699E0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The capability of supporting SCS within the single carrier in the CA configuration will be signalled separately, i.e., there is no need to mandatory UE to support mixed numerologies in CA case</w:t>
            </w:r>
          </w:p>
          <w:p w14:paraId="4FE0DDF8"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p w14:paraId="451FC5E7" w14:textId="00B041FF"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If a UE supports inter-band NR CA including both FR1 band(s) and FR2 band(s), the UE shall support two mixed numerologies between FR1 band(s) and FR2 band(s) in DL and UL with capability signalling.</w:t>
            </w:r>
          </w:p>
        </w:tc>
        <w:tc>
          <w:tcPr>
            <w:tcW w:w="1516" w:type="dxa"/>
            <w:shd w:val="clear" w:color="auto" w:fill="FFFF00"/>
          </w:tcPr>
          <w:p w14:paraId="6EF813B2" w14:textId="04E09162" w:rsidR="00C6569E" w:rsidRPr="00496531" w:rsidRDefault="00C6569E"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Not applicable</w:t>
            </w:r>
          </w:p>
        </w:tc>
      </w:tr>
      <w:tr w:rsidR="00C6569E" w:rsidRPr="00496531" w14:paraId="429DA522" w14:textId="77777777" w:rsidTr="001C5FD1">
        <w:trPr>
          <w:trHeight w:val="2485"/>
          <w:jc w:val="center"/>
        </w:trPr>
        <w:tc>
          <w:tcPr>
            <w:tcW w:w="846" w:type="dxa"/>
            <w:vMerge/>
            <w:vAlign w:val="center"/>
            <w:hideMark/>
          </w:tcPr>
          <w:p w14:paraId="3F4DB102" w14:textId="77777777" w:rsidR="00C6569E" w:rsidRPr="00496531" w:rsidRDefault="00C6569E"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228C5E10"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2-3</w:t>
            </w:r>
          </w:p>
        </w:tc>
        <w:tc>
          <w:tcPr>
            <w:tcW w:w="1276" w:type="dxa"/>
            <w:hideMark/>
          </w:tcPr>
          <w:p w14:paraId="7E015876"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Non-contiguous intra-band CA frequency separation class for FR2</w:t>
            </w:r>
          </w:p>
        </w:tc>
        <w:tc>
          <w:tcPr>
            <w:tcW w:w="1701" w:type="dxa"/>
            <w:hideMark/>
          </w:tcPr>
          <w:p w14:paraId="14ABA01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Support of frequency separation classes to handle the total frequency span for DL for intra-band non-contiguous CA</w:t>
            </w:r>
          </w:p>
          <w:p w14:paraId="1729DB64"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Support of frequency separation classes to handle the total frequency span for UL for intra-band non-contiguous CA</w:t>
            </w:r>
          </w:p>
        </w:tc>
        <w:tc>
          <w:tcPr>
            <w:tcW w:w="1134" w:type="dxa"/>
            <w:hideMark/>
          </w:tcPr>
          <w:p w14:paraId="3BD24BE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0DB73FE1"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FR2</w:t>
            </w:r>
          </w:p>
        </w:tc>
        <w:tc>
          <w:tcPr>
            <w:tcW w:w="1460" w:type="dxa"/>
          </w:tcPr>
          <w:p w14:paraId="4A1A557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UE signals the supported Frequency separation classes with per band granularity (Type 1) based on R4-1803363</w:t>
            </w:r>
          </w:p>
          <w:p w14:paraId="6F4E391B"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p w14:paraId="26F1B074"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Separate Frequency separation classes can be signalled for DL and UL</w:t>
            </w:r>
          </w:p>
        </w:tc>
        <w:tc>
          <w:tcPr>
            <w:tcW w:w="1516" w:type="dxa"/>
            <w:shd w:val="clear" w:color="auto" w:fill="FFFF00"/>
            <w:hideMark/>
          </w:tcPr>
          <w:p w14:paraId="210B1E7F"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Not applicable</w:t>
            </w:r>
          </w:p>
        </w:tc>
      </w:tr>
      <w:tr w:rsidR="003A3037" w:rsidRPr="00496531" w14:paraId="429CC5AC" w14:textId="77777777" w:rsidTr="001C5FD1">
        <w:trPr>
          <w:jc w:val="center"/>
        </w:trPr>
        <w:tc>
          <w:tcPr>
            <w:tcW w:w="846" w:type="dxa"/>
            <w:vMerge/>
            <w:vAlign w:val="center"/>
            <w:hideMark/>
          </w:tcPr>
          <w:p w14:paraId="316AE239"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6C758477"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2-4</w:t>
            </w:r>
          </w:p>
        </w:tc>
        <w:tc>
          <w:tcPr>
            <w:tcW w:w="1276" w:type="dxa"/>
            <w:hideMark/>
          </w:tcPr>
          <w:p w14:paraId="7367A85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inter-band EN-DC (TDD-TDD or TDD-FDD)</w:t>
            </w:r>
          </w:p>
        </w:tc>
        <w:tc>
          <w:tcPr>
            <w:tcW w:w="1701" w:type="dxa"/>
            <w:hideMark/>
          </w:tcPr>
          <w:p w14:paraId="6AB0F23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inter-band EN-DC (TDD-TDD or TDD-FDD)</w:t>
            </w:r>
          </w:p>
        </w:tc>
        <w:tc>
          <w:tcPr>
            <w:tcW w:w="1134" w:type="dxa"/>
            <w:hideMark/>
          </w:tcPr>
          <w:p w14:paraId="2149B44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2396B2E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675A4C5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For TDD-FDD and TDD-TDD band combinations for which simultaneous </w:t>
            </w:r>
            <w:proofErr w:type="spellStart"/>
            <w:r w:rsidRPr="00496531">
              <w:rPr>
                <w:rFonts w:ascii="Arial" w:eastAsia="宋体" w:hAnsi="Arial" w:cs="Arial"/>
                <w:sz w:val="13"/>
                <w:lang w:eastAsia="en-US"/>
              </w:rPr>
              <w:t>RxTx</w:t>
            </w:r>
            <w:proofErr w:type="spellEnd"/>
            <w:r w:rsidRPr="00496531">
              <w:rPr>
                <w:rFonts w:ascii="Arial" w:eastAsia="宋体" w:hAnsi="Arial" w:cs="Arial"/>
                <w:sz w:val="13"/>
                <w:lang w:eastAsia="en-US"/>
              </w:rPr>
              <w:t xml:space="preserve"> capability is agreed to be supported, corresponding capability indication must be set to "supported".</w:t>
            </w:r>
          </w:p>
          <w:p w14:paraId="0E2E97B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2C7E3A1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Band combinations for which simultaneous </w:t>
            </w:r>
            <w:proofErr w:type="spellStart"/>
            <w:r w:rsidRPr="00496531">
              <w:rPr>
                <w:rFonts w:ascii="Arial" w:eastAsia="宋体" w:hAnsi="Arial" w:cs="Arial"/>
                <w:sz w:val="13"/>
                <w:lang w:eastAsia="en-US"/>
              </w:rPr>
              <w:t>RxTx</w:t>
            </w:r>
            <w:proofErr w:type="spellEnd"/>
            <w:r w:rsidRPr="00496531">
              <w:rPr>
                <w:rFonts w:ascii="Arial" w:eastAsia="宋体" w:hAnsi="Arial" w:cs="Arial"/>
                <w:sz w:val="13"/>
                <w:lang w:eastAsia="en-US"/>
              </w:rPr>
              <w:t xml:space="preserve"> capability is mandatory EN-DC combinations (Both FR1 LTE – FR1 NR and FR1 LTE- FR2 NR) are captured in TS 38.101-3.</w:t>
            </w:r>
          </w:p>
        </w:tc>
        <w:tc>
          <w:tcPr>
            <w:tcW w:w="1516" w:type="dxa"/>
            <w:shd w:val="clear" w:color="auto" w:fill="FFFF00"/>
            <w:hideMark/>
          </w:tcPr>
          <w:p w14:paraId="0187679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val="en-US" w:eastAsia="zh-CN"/>
              </w:rPr>
              <w:t>Not applicable</w:t>
            </w:r>
          </w:p>
        </w:tc>
      </w:tr>
      <w:tr w:rsidR="003A3037" w:rsidRPr="00496531" w14:paraId="1E719971" w14:textId="77777777" w:rsidTr="001C5FD1">
        <w:trPr>
          <w:jc w:val="center"/>
        </w:trPr>
        <w:tc>
          <w:tcPr>
            <w:tcW w:w="846" w:type="dxa"/>
            <w:vMerge/>
            <w:vAlign w:val="center"/>
            <w:hideMark/>
          </w:tcPr>
          <w:p w14:paraId="13582078"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36E2576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2-5</w:t>
            </w:r>
          </w:p>
        </w:tc>
        <w:tc>
          <w:tcPr>
            <w:tcW w:w="1276" w:type="dxa"/>
            <w:hideMark/>
          </w:tcPr>
          <w:p w14:paraId="243F48D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inter band CA (TDD-TDD or TDD-FDD)</w:t>
            </w:r>
          </w:p>
        </w:tc>
        <w:tc>
          <w:tcPr>
            <w:tcW w:w="1701" w:type="dxa"/>
            <w:hideMark/>
          </w:tcPr>
          <w:p w14:paraId="2ADAD5D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inter band CA (TDD-TDD or TDD-FDD)</w:t>
            </w:r>
          </w:p>
        </w:tc>
        <w:tc>
          <w:tcPr>
            <w:tcW w:w="1134" w:type="dxa"/>
            <w:hideMark/>
          </w:tcPr>
          <w:p w14:paraId="284B9D7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77E47C5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1383634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For TDD-FDD and TDD-TDD band combinations for which simultaneous </w:t>
            </w:r>
            <w:proofErr w:type="spellStart"/>
            <w:r w:rsidRPr="00496531">
              <w:rPr>
                <w:rFonts w:ascii="Arial" w:eastAsia="宋体" w:hAnsi="Arial" w:cs="Arial"/>
                <w:sz w:val="13"/>
                <w:lang w:eastAsia="en-US"/>
              </w:rPr>
              <w:t>RxTx</w:t>
            </w:r>
            <w:proofErr w:type="spellEnd"/>
            <w:r w:rsidRPr="00496531">
              <w:rPr>
                <w:rFonts w:ascii="Arial" w:eastAsia="宋体" w:hAnsi="Arial" w:cs="Arial"/>
                <w:sz w:val="13"/>
                <w:lang w:eastAsia="en-US"/>
              </w:rPr>
              <w:t xml:space="preserve"> capability is agreed to be supported, corresponding capability indication must be set to "supported".</w:t>
            </w:r>
          </w:p>
          <w:p w14:paraId="3284B23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27B6123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Band combinations for which simultaneous </w:t>
            </w:r>
            <w:proofErr w:type="spellStart"/>
            <w:r w:rsidRPr="00496531">
              <w:rPr>
                <w:rFonts w:ascii="Arial" w:eastAsia="宋体" w:hAnsi="Arial" w:cs="Arial"/>
                <w:sz w:val="13"/>
                <w:lang w:eastAsia="en-US"/>
              </w:rPr>
              <w:t>RxTx</w:t>
            </w:r>
            <w:proofErr w:type="spellEnd"/>
            <w:r w:rsidRPr="00496531">
              <w:rPr>
                <w:rFonts w:ascii="Arial" w:eastAsia="宋体" w:hAnsi="Arial" w:cs="Arial"/>
                <w:sz w:val="13"/>
                <w:lang w:eastAsia="en-US"/>
              </w:rPr>
              <w:t xml:space="preserve"> capability is mandatory are captured in TS 38.101-1, TS 38.101-2 and TS 38.101-3.</w:t>
            </w:r>
          </w:p>
        </w:tc>
        <w:tc>
          <w:tcPr>
            <w:tcW w:w="1516" w:type="dxa"/>
            <w:shd w:val="clear" w:color="auto" w:fill="FFFF00"/>
            <w:hideMark/>
          </w:tcPr>
          <w:p w14:paraId="0EE5BC3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val="en-US" w:eastAsia="zh-CN"/>
              </w:rPr>
              <w:t>not applicable</w:t>
            </w:r>
          </w:p>
        </w:tc>
      </w:tr>
      <w:tr w:rsidR="003A3037" w:rsidRPr="00496531" w14:paraId="0AB76223" w14:textId="77777777" w:rsidTr="001C5FD1">
        <w:trPr>
          <w:jc w:val="center"/>
        </w:trPr>
        <w:tc>
          <w:tcPr>
            <w:tcW w:w="846" w:type="dxa"/>
            <w:vMerge/>
            <w:vAlign w:val="center"/>
            <w:hideMark/>
          </w:tcPr>
          <w:p w14:paraId="07183E46"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4819BC1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2-6</w:t>
            </w:r>
          </w:p>
        </w:tc>
        <w:tc>
          <w:tcPr>
            <w:tcW w:w="1276" w:type="dxa"/>
            <w:hideMark/>
          </w:tcPr>
          <w:p w14:paraId="1E510B0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val="sv-SE" w:eastAsia="en-US"/>
              </w:rPr>
            </w:pPr>
            <w:r w:rsidRPr="00496531">
              <w:rPr>
                <w:rFonts w:ascii="Arial" w:eastAsia="宋体" w:hAnsi="Arial" w:cs="Arial"/>
                <w:sz w:val="13"/>
                <w:lang w:val="sv-SE" w:eastAsia="en-US"/>
              </w:rPr>
              <w:t>Asynchronous FDD-FDD intra-band EN-DC DC</w:t>
            </w:r>
          </w:p>
        </w:tc>
        <w:tc>
          <w:tcPr>
            <w:tcW w:w="1701" w:type="dxa"/>
            <w:hideMark/>
          </w:tcPr>
          <w:p w14:paraId="2620FB7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val="sv-SE" w:eastAsia="en-US"/>
              </w:rPr>
            </w:pPr>
            <w:r w:rsidRPr="00496531">
              <w:rPr>
                <w:rFonts w:ascii="Arial" w:eastAsia="宋体" w:hAnsi="Arial" w:cs="Arial"/>
                <w:sz w:val="13"/>
                <w:lang w:val="sv-SE" w:eastAsia="en-US"/>
              </w:rPr>
              <w:t>Asynchronous FDD-FDD intra-band EN-DC</w:t>
            </w:r>
          </w:p>
        </w:tc>
        <w:tc>
          <w:tcPr>
            <w:tcW w:w="1134" w:type="dxa"/>
            <w:hideMark/>
          </w:tcPr>
          <w:p w14:paraId="5A5CAC1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FDD</w:t>
            </w:r>
          </w:p>
        </w:tc>
        <w:tc>
          <w:tcPr>
            <w:tcW w:w="1134" w:type="dxa"/>
            <w:hideMark/>
          </w:tcPr>
          <w:p w14:paraId="3044069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tcPr>
          <w:p w14:paraId="3CBCB255"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2E122F9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Not applicable</w:t>
            </w:r>
          </w:p>
        </w:tc>
      </w:tr>
      <w:tr w:rsidR="00C6569E" w:rsidRPr="00496531" w14:paraId="78088B6F" w14:textId="77777777" w:rsidTr="001C5FD1">
        <w:trPr>
          <w:trHeight w:val="4345"/>
          <w:jc w:val="center"/>
        </w:trPr>
        <w:tc>
          <w:tcPr>
            <w:tcW w:w="846" w:type="dxa"/>
            <w:vMerge/>
            <w:vAlign w:val="center"/>
            <w:hideMark/>
          </w:tcPr>
          <w:p w14:paraId="792A2C11" w14:textId="77777777" w:rsidR="00C6569E" w:rsidRPr="00496531" w:rsidRDefault="00C6569E" w:rsidP="001C5FD1">
            <w:pPr>
              <w:overflowPunct/>
              <w:autoSpaceDE/>
              <w:autoSpaceDN/>
              <w:adjustRightInd/>
              <w:spacing w:after="0"/>
              <w:textAlignment w:val="auto"/>
              <w:rPr>
                <w:rFonts w:ascii="Arial" w:eastAsia="宋体" w:hAnsi="Arial" w:cs="Arial"/>
                <w:sz w:val="13"/>
                <w:lang w:eastAsia="en-US"/>
              </w:rPr>
            </w:pPr>
          </w:p>
        </w:tc>
        <w:tc>
          <w:tcPr>
            <w:tcW w:w="567" w:type="dxa"/>
            <w:shd w:val="clear" w:color="auto" w:fill="92D050"/>
            <w:hideMark/>
          </w:tcPr>
          <w:p w14:paraId="61E9921E"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2-8</w:t>
            </w:r>
          </w:p>
        </w:tc>
        <w:tc>
          <w:tcPr>
            <w:tcW w:w="1276" w:type="dxa"/>
            <w:hideMark/>
          </w:tcPr>
          <w:p w14:paraId="5897722C"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UE power class</w:t>
            </w:r>
          </w:p>
        </w:tc>
        <w:tc>
          <w:tcPr>
            <w:tcW w:w="1701" w:type="dxa"/>
            <w:hideMark/>
          </w:tcPr>
          <w:p w14:paraId="4503E3B1"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Support of FR1 UE power class</w:t>
            </w:r>
          </w:p>
          <w:p w14:paraId="4142D1BF"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Support of FR2 UE power class</w:t>
            </w:r>
          </w:p>
          <w:p w14:paraId="3B755B10"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 Support of FR1 UE power class for EN-DC</w:t>
            </w:r>
          </w:p>
          <w:p w14:paraId="20334404"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4) Support of FR1 UE power class for NR-CA</w:t>
            </w:r>
          </w:p>
        </w:tc>
        <w:tc>
          <w:tcPr>
            <w:tcW w:w="1134" w:type="dxa"/>
            <w:hideMark/>
          </w:tcPr>
          <w:p w14:paraId="69C500B4"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45B8DC85"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5FF0C011"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Capability signalling</w:t>
            </w:r>
          </w:p>
          <w:p w14:paraId="32053FA4"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FR1 UE power class (per band)</w:t>
            </w:r>
          </w:p>
          <w:p w14:paraId="0E674CE6"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FR2 UE power class (per band)</w:t>
            </w:r>
          </w:p>
          <w:p w14:paraId="2BFDD09F"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FR1 UE power class for EN-DC (per band combination)</w:t>
            </w:r>
          </w:p>
          <w:p w14:paraId="43393F06"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FR1 UE power class for NR CA (per band combination)</w:t>
            </w:r>
          </w:p>
          <w:p w14:paraId="0633AC2A"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p>
          <w:p w14:paraId="076078B7"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Default power class for each component is indicated in TS38.101-1/2/3. If the default power class is not indicated, UE shall report supported power class. The component 2) is also used as power class for intra-band NR-CA in FR2</w:t>
            </w:r>
          </w:p>
        </w:tc>
        <w:tc>
          <w:tcPr>
            <w:tcW w:w="1516" w:type="dxa"/>
            <w:shd w:val="clear" w:color="auto" w:fill="FFFF00"/>
            <w:hideMark/>
          </w:tcPr>
          <w:p w14:paraId="1B03B377" w14:textId="77777777" w:rsidR="00C6569E" w:rsidRPr="00496531" w:rsidRDefault="00C6569E"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eastAsia="en-US"/>
              </w:rPr>
              <w:t>not applicable</w:t>
            </w:r>
          </w:p>
        </w:tc>
      </w:tr>
      <w:tr w:rsidR="003A3037" w:rsidRPr="00496531" w14:paraId="3A10AC36" w14:textId="77777777" w:rsidTr="001C5FD1">
        <w:trPr>
          <w:jc w:val="center"/>
        </w:trPr>
        <w:tc>
          <w:tcPr>
            <w:tcW w:w="846" w:type="dxa"/>
            <w:vMerge/>
            <w:vAlign w:val="center"/>
            <w:hideMark/>
          </w:tcPr>
          <w:p w14:paraId="1804CC73"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0B240EDA"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2-9</w:t>
            </w:r>
          </w:p>
        </w:tc>
        <w:tc>
          <w:tcPr>
            <w:tcW w:w="1276" w:type="dxa"/>
            <w:hideMark/>
          </w:tcPr>
          <w:p w14:paraId="015A8815"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SA SUL band combinations</w:t>
            </w:r>
          </w:p>
        </w:tc>
        <w:tc>
          <w:tcPr>
            <w:tcW w:w="1701" w:type="dxa"/>
            <w:hideMark/>
          </w:tcPr>
          <w:p w14:paraId="09233AAA"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and transmission for SA SUL band combinations</w:t>
            </w:r>
          </w:p>
        </w:tc>
        <w:tc>
          <w:tcPr>
            <w:tcW w:w="1134" w:type="dxa"/>
            <w:hideMark/>
          </w:tcPr>
          <w:p w14:paraId="278E459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181112F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6211E3D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635E773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Not applicable</w:t>
            </w:r>
          </w:p>
        </w:tc>
      </w:tr>
      <w:tr w:rsidR="003A3037" w:rsidRPr="00496531" w14:paraId="538712AA" w14:textId="77777777" w:rsidTr="001C5FD1">
        <w:trPr>
          <w:jc w:val="center"/>
        </w:trPr>
        <w:tc>
          <w:tcPr>
            <w:tcW w:w="846" w:type="dxa"/>
            <w:vMerge/>
            <w:vAlign w:val="center"/>
            <w:hideMark/>
          </w:tcPr>
          <w:p w14:paraId="2B90188A"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520A220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2-11</w:t>
            </w:r>
          </w:p>
        </w:tc>
        <w:tc>
          <w:tcPr>
            <w:tcW w:w="1276" w:type="dxa"/>
            <w:hideMark/>
          </w:tcPr>
          <w:p w14:paraId="69C738D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Modified MPR behaviour</w:t>
            </w:r>
          </w:p>
        </w:tc>
        <w:tc>
          <w:tcPr>
            <w:tcW w:w="1701" w:type="dxa"/>
            <w:hideMark/>
          </w:tcPr>
          <w:p w14:paraId="1ADD281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Modified MPR behaviour</w:t>
            </w:r>
          </w:p>
        </w:tc>
        <w:tc>
          <w:tcPr>
            <w:tcW w:w="1134" w:type="dxa"/>
            <w:hideMark/>
          </w:tcPr>
          <w:p w14:paraId="3158B25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32BF346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6C497FF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capability</w:t>
            </w:r>
          </w:p>
        </w:tc>
        <w:tc>
          <w:tcPr>
            <w:tcW w:w="1516" w:type="dxa"/>
            <w:shd w:val="clear" w:color="auto" w:fill="FFFF00"/>
            <w:hideMark/>
          </w:tcPr>
          <w:p w14:paraId="5ABE59C7"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3A3037" w:rsidRPr="00496531" w14:paraId="73F539B1" w14:textId="77777777" w:rsidTr="001C5FD1">
        <w:trPr>
          <w:jc w:val="center"/>
        </w:trPr>
        <w:tc>
          <w:tcPr>
            <w:tcW w:w="846" w:type="dxa"/>
            <w:vMerge/>
            <w:vAlign w:val="center"/>
            <w:hideMark/>
          </w:tcPr>
          <w:p w14:paraId="70119607"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6DB57D7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2-13</w:t>
            </w:r>
          </w:p>
        </w:tc>
        <w:tc>
          <w:tcPr>
            <w:tcW w:w="1276" w:type="dxa"/>
            <w:hideMark/>
          </w:tcPr>
          <w:p w14:paraId="669BCA1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Maximum uplink duty cycle for FR1 power class 2 UE</w:t>
            </w:r>
          </w:p>
        </w:tc>
        <w:tc>
          <w:tcPr>
            <w:tcW w:w="1701" w:type="dxa"/>
            <w:hideMark/>
          </w:tcPr>
          <w:p w14:paraId="01A5090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Maximum percentage of uplink symbols can be scheduled within a certain evaluation period provided by regulatory bodies. The value range is {60%, 70%, 80%, 90%, 100%}. If the field is absent, 50% shall be applied.</w:t>
            </w:r>
          </w:p>
        </w:tc>
        <w:tc>
          <w:tcPr>
            <w:tcW w:w="1134" w:type="dxa"/>
            <w:hideMark/>
          </w:tcPr>
          <w:p w14:paraId="3357691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3B678F9E"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tcPr>
          <w:p w14:paraId="0EFD73D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capability.</w:t>
            </w:r>
          </w:p>
          <w:p w14:paraId="2C5182DA"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4E15C22E"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33C74883"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7F358F5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UE do not need to do UL duty cycle calculation when it's transmit power is below 23dBm and all the UL/DL configurations can be scheduled.</w:t>
            </w:r>
          </w:p>
        </w:tc>
        <w:tc>
          <w:tcPr>
            <w:tcW w:w="1516" w:type="dxa"/>
            <w:shd w:val="clear" w:color="auto" w:fill="FFFF00"/>
            <w:hideMark/>
          </w:tcPr>
          <w:p w14:paraId="44C9274B"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3A3037" w:rsidRPr="00496531" w14:paraId="4A6B1EBD" w14:textId="77777777" w:rsidTr="001C5FD1">
        <w:trPr>
          <w:jc w:val="center"/>
        </w:trPr>
        <w:tc>
          <w:tcPr>
            <w:tcW w:w="846" w:type="dxa"/>
            <w:vMerge/>
            <w:vAlign w:val="center"/>
            <w:hideMark/>
          </w:tcPr>
          <w:p w14:paraId="3172A314"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15E701C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2-15</w:t>
            </w:r>
          </w:p>
        </w:tc>
        <w:tc>
          <w:tcPr>
            <w:tcW w:w="1276" w:type="dxa"/>
            <w:hideMark/>
          </w:tcPr>
          <w:p w14:paraId="5A3CA62E"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Maximum uplink duty cycle for FR2</w:t>
            </w:r>
          </w:p>
        </w:tc>
        <w:tc>
          <w:tcPr>
            <w:tcW w:w="1701" w:type="dxa"/>
            <w:hideMark/>
          </w:tcPr>
          <w:p w14:paraId="63C01FF4"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134" w:type="dxa"/>
            <w:hideMark/>
          </w:tcPr>
          <w:p w14:paraId="5C96CD6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2052A244"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FR2</w:t>
            </w:r>
          </w:p>
        </w:tc>
        <w:tc>
          <w:tcPr>
            <w:tcW w:w="1460" w:type="dxa"/>
          </w:tcPr>
          <w:p w14:paraId="1D27C6D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capability.</w:t>
            </w:r>
          </w:p>
          <w:p w14:paraId="1A052D6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53AAD04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p>
          <w:p w14:paraId="5B063A05"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This capability is applicable for all power classes in FR2</w:t>
            </w:r>
          </w:p>
        </w:tc>
        <w:tc>
          <w:tcPr>
            <w:tcW w:w="1516" w:type="dxa"/>
            <w:shd w:val="clear" w:color="auto" w:fill="FFFF00"/>
            <w:hideMark/>
          </w:tcPr>
          <w:p w14:paraId="18ECAB0F"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r w:rsidR="003A3037" w:rsidRPr="00496531" w14:paraId="1966D631" w14:textId="77777777" w:rsidTr="001C5FD1">
        <w:trPr>
          <w:jc w:val="center"/>
        </w:trPr>
        <w:tc>
          <w:tcPr>
            <w:tcW w:w="846" w:type="dxa"/>
            <w:vMerge/>
            <w:vAlign w:val="center"/>
            <w:hideMark/>
          </w:tcPr>
          <w:p w14:paraId="0A870CA9"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79FD544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2-16</w:t>
            </w:r>
          </w:p>
        </w:tc>
        <w:tc>
          <w:tcPr>
            <w:tcW w:w="1276" w:type="dxa"/>
            <w:hideMark/>
          </w:tcPr>
          <w:p w14:paraId="06964FE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PA architectures for intra-band EN-DC</w:t>
            </w:r>
          </w:p>
        </w:tc>
        <w:tc>
          <w:tcPr>
            <w:tcW w:w="1701" w:type="dxa"/>
            <w:hideMark/>
          </w:tcPr>
          <w:p w14:paraId="4F84285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dual PA</w:t>
            </w:r>
          </w:p>
        </w:tc>
        <w:tc>
          <w:tcPr>
            <w:tcW w:w="1134" w:type="dxa"/>
            <w:hideMark/>
          </w:tcPr>
          <w:p w14:paraId="1C0D2A4A"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401C1CB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11859AE7"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per band combination capability</w:t>
            </w:r>
          </w:p>
          <w:p w14:paraId="4D94594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Single PA is default architecture</w:t>
            </w:r>
          </w:p>
          <w:p w14:paraId="4F31A59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The following requirements are involved by this capability</w:t>
            </w:r>
          </w:p>
          <w:p w14:paraId="3EAAD040"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A-MPR/MPR and MSD values for dual uplink. Whether two sets of requirements will be introduced in RAN4 can be further discussed for each specific band combination</w:t>
            </w:r>
          </w:p>
          <w:p w14:paraId="3A03EFC8"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Switching time between LTE UL and NR UL in single switched UL operation mode for intra-band EN-DC</w:t>
            </w:r>
          </w:p>
        </w:tc>
        <w:tc>
          <w:tcPr>
            <w:tcW w:w="1516" w:type="dxa"/>
            <w:shd w:val="clear" w:color="auto" w:fill="FFFF00"/>
            <w:hideMark/>
          </w:tcPr>
          <w:p w14:paraId="44129EE7"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Not applicable </w:t>
            </w:r>
          </w:p>
        </w:tc>
      </w:tr>
      <w:tr w:rsidR="003A3037" w:rsidRPr="00496531" w14:paraId="06D16F6D" w14:textId="77777777" w:rsidTr="001C5FD1">
        <w:trPr>
          <w:jc w:val="center"/>
        </w:trPr>
        <w:tc>
          <w:tcPr>
            <w:tcW w:w="846" w:type="dxa"/>
            <w:vMerge/>
            <w:vAlign w:val="center"/>
            <w:hideMark/>
          </w:tcPr>
          <w:p w14:paraId="1933DA37" w14:textId="77777777" w:rsidR="003A3037" w:rsidRPr="00496531" w:rsidRDefault="003A3037"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75471D3C"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2-17</w:t>
            </w:r>
          </w:p>
        </w:tc>
        <w:tc>
          <w:tcPr>
            <w:tcW w:w="1276" w:type="dxa"/>
            <w:hideMark/>
          </w:tcPr>
          <w:p w14:paraId="44397BE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PA architectures for intra-band UL CA</w:t>
            </w:r>
          </w:p>
        </w:tc>
        <w:tc>
          <w:tcPr>
            <w:tcW w:w="1701" w:type="dxa"/>
            <w:hideMark/>
          </w:tcPr>
          <w:p w14:paraId="6C536FE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dual PA</w:t>
            </w:r>
          </w:p>
        </w:tc>
        <w:tc>
          <w:tcPr>
            <w:tcW w:w="1134" w:type="dxa"/>
            <w:hideMark/>
          </w:tcPr>
          <w:p w14:paraId="57F833ED"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67ECEAA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06F21309"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per band combination capability</w:t>
            </w:r>
          </w:p>
          <w:p w14:paraId="0FD0ED01"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Single PA is default architecture</w:t>
            </w:r>
          </w:p>
          <w:p w14:paraId="5D2103B2"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The following requirements are involved by this capability</w:t>
            </w:r>
          </w:p>
          <w:p w14:paraId="5697B6AE"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t>
            </w:r>
            <w:r w:rsidRPr="00496531">
              <w:rPr>
                <w:rFonts w:ascii="Arial" w:eastAsia="宋体" w:hAnsi="Arial" w:cs="Arial"/>
                <w:sz w:val="13"/>
                <w:lang w:eastAsia="en-US"/>
              </w:rPr>
              <w:tab/>
              <w:t>A-MPR/MPR and MSD values for dual uplink. Whether two sets of requirements will be introduced in RAN4 can be further discussed for each specific band combination</w:t>
            </w:r>
          </w:p>
        </w:tc>
        <w:tc>
          <w:tcPr>
            <w:tcW w:w="1516" w:type="dxa"/>
            <w:shd w:val="clear" w:color="auto" w:fill="FFFF00"/>
            <w:hideMark/>
          </w:tcPr>
          <w:p w14:paraId="15480416" w14:textId="77777777" w:rsidR="003A3037" w:rsidRPr="00496531" w:rsidRDefault="003A3037"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Not applicable</w:t>
            </w:r>
          </w:p>
        </w:tc>
      </w:tr>
    </w:tbl>
    <w:p w14:paraId="7A24C869" w14:textId="37212EEB" w:rsidR="00A12407" w:rsidRDefault="00C6569E" w:rsidP="00C6569E">
      <w:pPr>
        <w:spacing w:beforeLines="50" w:before="120" w:after="120"/>
        <w:textAlignment w:val="auto"/>
        <w:rPr>
          <w:rFonts w:eastAsia="等线"/>
          <w:sz w:val="22"/>
          <w:lang w:eastAsia="zh-CN"/>
        </w:rPr>
      </w:pPr>
      <w:r>
        <w:rPr>
          <w:rFonts w:eastAsia="等线"/>
          <w:sz w:val="22"/>
          <w:lang w:eastAsia="zh-CN"/>
        </w:rPr>
        <w:t>A</w:t>
      </w:r>
      <w:r>
        <w:rPr>
          <w:rFonts w:eastAsia="等线" w:hint="eastAsia"/>
          <w:sz w:val="22"/>
          <w:lang w:eastAsia="zh-CN"/>
        </w:rPr>
        <w:t>ccording</w:t>
      </w:r>
      <w:r>
        <w:rPr>
          <w:rFonts w:eastAsia="等线"/>
          <w:sz w:val="22"/>
          <w:lang w:eastAsia="zh-CN"/>
        </w:rPr>
        <w:t xml:space="preserve"> </w:t>
      </w:r>
      <w:r>
        <w:rPr>
          <w:rFonts w:eastAsia="等线" w:hint="eastAsia"/>
          <w:sz w:val="22"/>
          <w:lang w:eastAsia="zh-CN"/>
        </w:rPr>
        <w:t>to</w:t>
      </w:r>
      <w:r>
        <w:rPr>
          <w:rFonts w:eastAsia="等线"/>
          <w:sz w:val="22"/>
          <w:lang w:eastAsia="zh-CN"/>
        </w:rPr>
        <w:t xml:space="preserve"> the </w:t>
      </w:r>
      <w:r w:rsidR="00A12407">
        <w:rPr>
          <w:rFonts w:eastAsia="等线"/>
          <w:sz w:val="22"/>
          <w:lang w:eastAsia="zh-CN"/>
        </w:rPr>
        <w:t>description in Section 4.2.23.1 of TS</w:t>
      </w:r>
      <w:r w:rsidR="009D5628">
        <w:rPr>
          <w:rFonts w:eastAsia="等线"/>
          <w:sz w:val="22"/>
          <w:lang w:eastAsia="zh-CN"/>
        </w:rPr>
        <w:t xml:space="preserve"> </w:t>
      </w:r>
      <w:r w:rsidR="00A12407">
        <w:rPr>
          <w:rFonts w:eastAsia="等线"/>
          <w:sz w:val="22"/>
          <w:lang w:eastAsia="zh-CN"/>
        </w:rPr>
        <w:t>38</w:t>
      </w:r>
      <w:r w:rsidR="009D5628">
        <w:rPr>
          <w:rFonts w:eastAsia="等线"/>
          <w:sz w:val="22"/>
          <w:lang w:eastAsia="zh-CN"/>
        </w:rPr>
        <w:t>.</w:t>
      </w:r>
      <w:r w:rsidR="00A12407">
        <w:rPr>
          <w:rFonts w:eastAsia="等线"/>
          <w:sz w:val="22"/>
          <w:lang w:eastAsia="zh-CN"/>
        </w:rPr>
        <w:t>306, “</w:t>
      </w:r>
      <w:r w:rsidR="00A12407" w:rsidRPr="001C5FD1">
        <w:rPr>
          <w:rFonts w:eastAsia="等线"/>
          <w:i/>
          <w:sz w:val="22"/>
          <w:lang w:eastAsia="zh-CN"/>
        </w:rPr>
        <w:t>All other feature groups or components of the feature groups as captured in TR 38.822 [24] as well as capabilities specified in this specification are optional for an NCR-MT, unless indicated otherwise</w:t>
      </w:r>
      <w:r w:rsidR="00A12407">
        <w:rPr>
          <w:rFonts w:eastAsia="等线"/>
          <w:sz w:val="22"/>
          <w:lang w:eastAsia="zh-CN"/>
        </w:rPr>
        <w:t>”. In order to avoid potential misunderstanding, the above lists FGs should be clarified in TS</w:t>
      </w:r>
      <w:r w:rsidR="009D5628">
        <w:rPr>
          <w:rFonts w:eastAsia="等线"/>
          <w:sz w:val="22"/>
          <w:lang w:eastAsia="zh-CN"/>
        </w:rPr>
        <w:t xml:space="preserve"> </w:t>
      </w:r>
      <w:r w:rsidR="00A12407">
        <w:rPr>
          <w:rFonts w:eastAsia="等线"/>
          <w:sz w:val="22"/>
          <w:lang w:eastAsia="zh-CN"/>
        </w:rPr>
        <w:t>38</w:t>
      </w:r>
      <w:r w:rsidR="009D5628">
        <w:rPr>
          <w:rFonts w:eastAsia="等线"/>
          <w:sz w:val="22"/>
          <w:lang w:eastAsia="zh-CN"/>
        </w:rPr>
        <w:t>.</w:t>
      </w:r>
      <w:r w:rsidR="00A12407">
        <w:rPr>
          <w:rFonts w:eastAsia="等线"/>
          <w:sz w:val="22"/>
          <w:lang w:eastAsia="zh-CN"/>
        </w:rPr>
        <w:t xml:space="preserve">306 to be not applicable for NCR-MT. Otherwise, they may be deemed as optional. </w:t>
      </w:r>
      <w:r w:rsidR="00D57B4D">
        <w:rPr>
          <w:rFonts w:eastAsia="等线"/>
          <w:sz w:val="22"/>
          <w:lang w:eastAsia="zh-CN"/>
        </w:rPr>
        <w:t>Among them, f</w:t>
      </w:r>
      <w:r w:rsidR="00A12407">
        <w:rPr>
          <w:rFonts w:eastAsia="等线"/>
          <w:sz w:val="22"/>
          <w:lang w:eastAsia="zh-CN"/>
        </w:rPr>
        <w:t>or different capabilities, the handling should be different as follows:</w:t>
      </w:r>
    </w:p>
    <w:p w14:paraId="6FCDBD82" w14:textId="6CF636F0" w:rsidR="00C6569E" w:rsidRDefault="00A12407" w:rsidP="00A12407">
      <w:pPr>
        <w:pStyle w:val="af8"/>
        <w:numPr>
          <w:ilvl w:val="0"/>
          <w:numId w:val="32"/>
        </w:numPr>
        <w:spacing w:beforeLines="50" w:before="120" w:after="120"/>
        <w:ind w:firstLineChars="0"/>
        <w:textAlignment w:val="auto"/>
        <w:rPr>
          <w:rFonts w:eastAsia="等线"/>
          <w:sz w:val="22"/>
          <w:lang w:eastAsia="zh-CN"/>
        </w:rPr>
      </w:pPr>
      <w:r w:rsidRPr="001C5FD1">
        <w:rPr>
          <w:rFonts w:eastAsia="等线"/>
          <w:sz w:val="22"/>
          <w:lang w:eastAsia="zh-CN"/>
        </w:rPr>
        <w:t xml:space="preserve">For </w:t>
      </w:r>
      <w:r>
        <w:rPr>
          <w:rFonts w:eastAsia="等线"/>
          <w:sz w:val="22"/>
          <w:lang w:eastAsia="zh-CN"/>
        </w:rPr>
        <w:t xml:space="preserve">FG1-9, FG1-10, FG2-2, FG2-3, FG2-4, FG2-5, FG2-6, FG2-9, </w:t>
      </w:r>
      <w:r w:rsidR="000F213D">
        <w:rPr>
          <w:rFonts w:eastAsia="等线"/>
          <w:sz w:val="22"/>
          <w:lang w:eastAsia="zh-CN"/>
        </w:rPr>
        <w:t xml:space="preserve">FG2-11, FG2-13, FG2-15 and </w:t>
      </w:r>
      <w:r>
        <w:rPr>
          <w:rFonts w:eastAsia="等线"/>
          <w:sz w:val="22"/>
          <w:lang w:eastAsia="zh-CN"/>
        </w:rPr>
        <w:t>FG2-16, FG2-17, as they are DC</w:t>
      </w:r>
      <w:r w:rsidR="000F213D">
        <w:rPr>
          <w:rFonts w:eastAsia="等线"/>
          <w:sz w:val="22"/>
          <w:lang w:eastAsia="zh-CN"/>
        </w:rPr>
        <w:t>/CA/HPUE Duty cycle/MPR</w:t>
      </w:r>
      <w:r>
        <w:rPr>
          <w:rFonts w:eastAsia="等线"/>
          <w:sz w:val="22"/>
          <w:lang w:eastAsia="zh-CN"/>
        </w:rPr>
        <w:t xml:space="preserve"> related capabilities and </w:t>
      </w:r>
      <w:r w:rsidR="000F213D">
        <w:rPr>
          <w:rFonts w:eastAsia="等线"/>
          <w:sz w:val="22"/>
          <w:lang w:eastAsia="zh-CN"/>
        </w:rPr>
        <w:t>it is already specified in Section 4.2.23.1 of TS38306 that “</w:t>
      </w:r>
      <w:r w:rsidR="000F213D" w:rsidRPr="001C5FD1">
        <w:rPr>
          <w:rFonts w:eastAsia="等线"/>
          <w:i/>
          <w:sz w:val="22"/>
          <w:lang w:eastAsia="zh-CN"/>
        </w:rPr>
        <w:t>CA, MR-DC, handover (e.g. CHO, DAPS, CPAC, etc), unlicensed band, HPUE Duty cycle, MPR related UE features and corresponding capabilities are not supported by an NCR-MT</w:t>
      </w:r>
      <w:r w:rsidR="000F213D">
        <w:rPr>
          <w:rFonts w:eastAsia="等线"/>
          <w:sz w:val="22"/>
          <w:lang w:eastAsia="zh-CN"/>
        </w:rPr>
        <w:t xml:space="preserve">”, no further clarification is needed for these FGs. </w:t>
      </w:r>
    </w:p>
    <w:p w14:paraId="6F7B3C6B" w14:textId="1CC9A638" w:rsidR="000F213D" w:rsidRPr="001C5FD1" w:rsidRDefault="000F213D" w:rsidP="001C5FD1">
      <w:pPr>
        <w:pStyle w:val="af8"/>
        <w:numPr>
          <w:ilvl w:val="0"/>
          <w:numId w:val="32"/>
        </w:numPr>
        <w:spacing w:beforeLines="50" w:before="120" w:after="120"/>
        <w:ind w:firstLineChars="0"/>
        <w:textAlignment w:val="auto"/>
        <w:rPr>
          <w:rFonts w:eastAsia="等线"/>
          <w:sz w:val="22"/>
          <w:lang w:eastAsia="zh-CN"/>
        </w:rPr>
      </w:pPr>
      <w:r>
        <w:rPr>
          <w:rFonts w:eastAsia="等线" w:hint="eastAsia"/>
          <w:sz w:val="22"/>
          <w:lang w:eastAsia="zh-CN"/>
        </w:rPr>
        <w:lastRenderedPageBreak/>
        <w:t>F</w:t>
      </w:r>
      <w:r>
        <w:rPr>
          <w:rFonts w:eastAsia="等线"/>
          <w:sz w:val="22"/>
          <w:lang w:eastAsia="zh-CN"/>
        </w:rPr>
        <w:t>or FG1-11 and FG2-8</w:t>
      </w:r>
      <w:r w:rsidR="00D57B4D">
        <w:rPr>
          <w:rFonts w:eastAsia="等线"/>
          <w:sz w:val="22"/>
          <w:lang w:eastAsia="zh-CN"/>
        </w:rPr>
        <w:t xml:space="preserve"> (</w:t>
      </w:r>
      <w:r w:rsidR="00D57B4D" w:rsidRPr="001C5FD1">
        <w:rPr>
          <w:rFonts w:eastAsia="等线"/>
          <w:sz w:val="22"/>
          <w:shd w:val="clear" w:color="auto" w:fill="92D050"/>
          <w:lang w:eastAsia="zh-CN"/>
        </w:rPr>
        <w:t>highlighted in green</w:t>
      </w:r>
      <w:r w:rsidR="00D57B4D">
        <w:rPr>
          <w:rFonts w:eastAsia="等线"/>
          <w:sz w:val="22"/>
          <w:lang w:eastAsia="zh-CN"/>
        </w:rPr>
        <w:t>)</w:t>
      </w:r>
      <w:r>
        <w:rPr>
          <w:rFonts w:eastAsia="等线"/>
          <w:sz w:val="22"/>
          <w:lang w:eastAsia="zh-CN"/>
        </w:rPr>
        <w:t xml:space="preserve">, it should be clarified that they are not applicable to NCR-MT. </w:t>
      </w:r>
      <w:r w:rsidR="009164E0">
        <w:rPr>
          <w:rFonts w:eastAsia="等线"/>
          <w:sz w:val="22"/>
          <w:lang w:eastAsia="zh-CN"/>
        </w:rPr>
        <w:t xml:space="preserve">For FG2-8, as there is </w:t>
      </w:r>
      <w:r w:rsidR="009164E0" w:rsidRPr="009164E0">
        <w:rPr>
          <w:rFonts w:eastAsia="等线"/>
          <w:sz w:val="22"/>
          <w:lang w:eastAsia="zh-CN"/>
        </w:rPr>
        <w:t>existing capability signalling</w:t>
      </w:r>
      <w:r w:rsidR="009164E0">
        <w:rPr>
          <w:rFonts w:eastAsia="等线"/>
          <w:sz w:val="22"/>
          <w:lang w:eastAsia="zh-CN"/>
        </w:rPr>
        <w:t xml:space="preserve"> in TS38306, it can be clarified in the field description.</w:t>
      </w:r>
      <w:r w:rsidR="009164E0" w:rsidRPr="009164E0">
        <w:rPr>
          <w:rFonts w:eastAsia="等线"/>
          <w:sz w:val="22"/>
          <w:lang w:eastAsia="zh-CN"/>
        </w:rPr>
        <w:t xml:space="preserve"> </w:t>
      </w:r>
      <w:r w:rsidR="009164E0">
        <w:rPr>
          <w:rFonts w:eastAsia="等线"/>
          <w:sz w:val="22"/>
          <w:lang w:eastAsia="zh-CN"/>
        </w:rPr>
        <w:t>For FG1-11, a</w:t>
      </w:r>
      <w:r w:rsidR="00231725">
        <w:rPr>
          <w:rFonts w:eastAsia="等线"/>
          <w:sz w:val="22"/>
          <w:lang w:eastAsia="zh-CN"/>
        </w:rPr>
        <w:t xml:space="preserve">s there </w:t>
      </w:r>
      <w:r w:rsidR="00C54D4B">
        <w:rPr>
          <w:rFonts w:eastAsia="等线"/>
          <w:sz w:val="22"/>
          <w:lang w:eastAsia="zh-CN"/>
        </w:rPr>
        <w:t xml:space="preserve">is </w:t>
      </w:r>
      <w:r w:rsidR="009164E0">
        <w:rPr>
          <w:rFonts w:eastAsia="等线"/>
          <w:sz w:val="22"/>
          <w:lang w:eastAsia="zh-CN"/>
        </w:rPr>
        <w:t xml:space="preserve">no </w:t>
      </w:r>
      <w:r w:rsidR="00C54D4B">
        <w:rPr>
          <w:rFonts w:eastAsia="等线"/>
          <w:sz w:val="22"/>
          <w:lang w:eastAsia="zh-CN"/>
        </w:rPr>
        <w:t xml:space="preserve">existing capability signalling (mandatory without signalling for normal UE), it is better to clarify in </w:t>
      </w:r>
      <w:r w:rsidR="00DC1888">
        <w:rPr>
          <w:rFonts w:eastAsia="等线"/>
          <w:sz w:val="22"/>
          <w:lang w:eastAsia="zh-CN"/>
        </w:rPr>
        <w:t>Clause 4.2.23 as part of the general description</w:t>
      </w:r>
      <w:r w:rsidR="00C54D4B">
        <w:rPr>
          <w:rFonts w:eastAsia="等线"/>
          <w:sz w:val="22"/>
          <w:lang w:eastAsia="zh-CN"/>
        </w:rPr>
        <w:t>.</w:t>
      </w:r>
    </w:p>
    <w:p w14:paraId="2A1D39B4" w14:textId="6BF2237A" w:rsidR="000F213D" w:rsidRDefault="000F213D" w:rsidP="000F213D">
      <w:pPr>
        <w:spacing w:beforeLines="50" w:before="120" w:after="120"/>
        <w:textAlignment w:val="auto"/>
        <w:rPr>
          <w:rFonts w:eastAsia="等线"/>
          <w:b/>
          <w:sz w:val="22"/>
          <w:lang w:eastAsia="zh-CN"/>
        </w:rPr>
      </w:pPr>
      <w:r w:rsidRPr="001C5FD1">
        <w:rPr>
          <w:rFonts w:eastAsia="等线"/>
          <w:b/>
          <w:sz w:val="22"/>
          <w:lang w:eastAsia="zh-CN"/>
        </w:rPr>
        <w:t xml:space="preserve">Proposal </w:t>
      </w:r>
      <w:r>
        <w:rPr>
          <w:rFonts w:eastAsia="等线"/>
          <w:b/>
          <w:sz w:val="22"/>
          <w:lang w:eastAsia="zh-CN"/>
        </w:rPr>
        <w:t>2</w:t>
      </w:r>
      <w:r w:rsidRPr="001C5FD1">
        <w:rPr>
          <w:rFonts w:eastAsia="等线"/>
          <w:b/>
          <w:sz w:val="22"/>
          <w:lang w:eastAsia="zh-CN"/>
        </w:rPr>
        <w:t xml:space="preserve">: </w:t>
      </w:r>
      <w:r>
        <w:rPr>
          <w:rFonts w:eastAsia="等线"/>
          <w:b/>
          <w:sz w:val="22"/>
          <w:lang w:eastAsia="zh-CN"/>
        </w:rPr>
        <w:t xml:space="preserve">Clarify in </w:t>
      </w:r>
      <w:r w:rsidRPr="000F213D">
        <w:rPr>
          <w:rFonts w:eastAsia="等线"/>
          <w:b/>
          <w:sz w:val="22"/>
          <w:lang w:eastAsia="zh-CN"/>
        </w:rPr>
        <w:t>TS</w:t>
      </w:r>
      <w:r w:rsidR="009D5628">
        <w:rPr>
          <w:rFonts w:eastAsia="等线"/>
          <w:b/>
          <w:sz w:val="22"/>
          <w:lang w:eastAsia="zh-CN"/>
        </w:rPr>
        <w:t xml:space="preserve"> </w:t>
      </w:r>
      <w:r w:rsidRPr="000F213D">
        <w:rPr>
          <w:rFonts w:eastAsia="等线"/>
          <w:b/>
          <w:sz w:val="22"/>
          <w:lang w:eastAsia="zh-CN"/>
        </w:rPr>
        <w:t>38</w:t>
      </w:r>
      <w:r w:rsidR="009D5628">
        <w:rPr>
          <w:rFonts w:eastAsia="等线"/>
          <w:b/>
          <w:sz w:val="22"/>
          <w:lang w:eastAsia="zh-CN"/>
        </w:rPr>
        <w:t>.</w:t>
      </w:r>
      <w:r w:rsidRPr="000F213D">
        <w:rPr>
          <w:rFonts w:eastAsia="等线"/>
          <w:b/>
          <w:sz w:val="22"/>
          <w:lang w:eastAsia="zh-CN"/>
        </w:rPr>
        <w:t>306</w:t>
      </w:r>
      <w:r>
        <w:rPr>
          <w:rFonts w:eastAsia="等线"/>
          <w:b/>
          <w:sz w:val="22"/>
          <w:lang w:eastAsia="zh-CN"/>
        </w:rPr>
        <w:t xml:space="preserve"> that </w:t>
      </w:r>
      <w:r w:rsidRPr="000F213D">
        <w:rPr>
          <w:rFonts w:eastAsia="等线"/>
          <w:b/>
          <w:sz w:val="22"/>
          <w:lang w:eastAsia="zh-CN"/>
        </w:rPr>
        <w:t>FG2-8</w:t>
      </w:r>
      <w:r>
        <w:rPr>
          <w:rFonts w:eastAsia="等线"/>
          <w:b/>
          <w:sz w:val="22"/>
          <w:lang w:eastAsia="zh-CN"/>
        </w:rPr>
        <w:t xml:space="preserve"> </w:t>
      </w:r>
      <w:r w:rsidR="00DC1888">
        <w:rPr>
          <w:rFonts w:eastAsia="等线"/>
          <w:b/>
          <w:sz w:val="22"/>
          <w:lang w:eastAsia="zh-CN"/>
        </w:rPr>
        <w:t>and FG1-11 are</w:t>
      </w:r>
      <w:r w:rsidR="00C54D4B">
        <w:rPr>
          <w:rFonts w:eastAsia="等线"/>
          <w:b/>
          <w:sz w:val="22"/>
          <w:lang w:eastAsia="zh-CN"/>
        </w:rPr>
        <w:t xml:space="preserve"> </w:t>
      </w:r>
      <w:r>
        <w:rPr>
          <w:rFonts w:eastAsia="等线"/>
          <w:b/>
          <w:sz w:val="22"/>
          <w:lang w:eastAsia="zh-CN"/>
        </w:rPr>
        <w:t>not applicable to NCR-MT</w:t>
      </w:r>
      <w:r w:rsidRPr="001C5FD1">
        <w:rPr>
          <w:rFonts w:eastAsia="等线"/>
          <w:b/>
          <w:sz w:val="22"/>
          <w:lang w:eastAsia="zh-CN"/>
        </w:rPr>
        <w:t>.</w:t>
      </w:r>
    </w:p>
    <w:p w14:paraId="390A7FC1" w14:textId="77777777" w:rsidR="001C0F58" w:rsidRPr="001C5FD1" w:rsidRDefault="001C0F58" w:rsidP="001C5FD1">
      <w:pPr>
        <w:spacing w:beforeLines="50" w:before="120" w:after="120"/>
        <w:textAlignment w:val="auto"/>
        <w:rPr>
          <w:rFonts w:eastAsia="等线"/>
          <w:b/>
          <w:sz w:val="22"/>
          <w:lang w:eastAsia="zh-CN"/>
        </w:rPr>
      </w:pPr>
    </w:p>
    <w:p w14:paraId="2580CD19" w14:textId="72BEA42A" w:rsidR="00F80925" w:rsidRPr="001C5FD1" w:rsidRDefault="001E2D39" w:rsidP="001C5FD1">
      <w:pPr>
        <w:pStyle w:val="af8"/>
        <w:numPr>
          <w:ilvl w:val="1"/>
          <w:numId w:val="34"/>
        </w:numPr>
        <w:ind w:left="357" w:firstLineChars="0" w:hanging="357"/>
        <w:textAlignment w:val="auto"/>
        <w:outlineLvl w:val="1"/>
        <w:rPr>
          <w:rFonts w:ascii="Arial" w:eastAsia="Malgun Gothic" w:hAnsi="Arial" w:cs="Arial"/>
          <w:sz w:val="28"/>
          <w:lang w:eastAsia="de-DE"/>
        </w:rPr>
      </w:pPr>
      <w:r w:rsidRPr="001C5FD1">
        <w:rPr>
          <w:rFonts w:ascii="Arial" w:eastAsia="Malgun Gothic" w:hAnsi="Arial" w:cs="Arial"/>
          <w:sz w:val="28"/>
          <w:lang w:eastAsia="de-DE"/>
        </w:rPr>
        <w:t>FGs which are optional to NCR-MT</w:t>
      </w:r>
      <w:r w:rsidRPr="001C5FD1" w:rsidDel="001E2D39">
        <w:rPr>
          <w:rFonts w:ascii="Arial" w:eastAsia="Malgun Gothic" w:hAnsi="Arial" w:cs="Arial"/>
          <w:sz w:val="28"/>
          <w:lang w:eastAsia="de-DE"/>
        </w:rPr>
        <w:t xml:space="preserve"> </w:t>
      </w:r>
    </w:p>
    <w:p w14:paraId="038CF31E" w14:textId="16ACC1F1" w:rsidR="00F53F1D" w:rsidRPr="001C5FD1" w:rsidRDefault="001E2D39" w:rsidP="001C5FD1">
      <w:pPr>
        <w:textAlignment w:val="auto"/>
        <w:rPr>
          <w:rFonts w:eastAsia="Malgun Gothic"/>
          <w:sz w:val="22"/>
          <w:lang w:eastAsia="de-DE"/>
        </w:rPr>
      </w:pPr>
      <w:r w:rsidRPr="001C5FD1">
        <w:rPr>
          <w:rFonts w:eastAsia="Malgun Gothic"/>
          <w:sz w:val="22"/>
          <w:lang w:eastAsia="de-DE"/>
        </w:rPr>
        <w:t xml:space="preserve">According to the feature list, the following FGs are </w:t>
      </w:r>
      <w:r>
        <w:rPr>
          <w:rFonts w:eastAsia="Malgun Gothic"/>
          <w:sz w:val="22"/>
          <w:lang w:eastAsia="de-DE"/>
        </w:rPr>
        <w:t>optional</w:t>
      </w:r>
      <w:r w:rsidRPr="001C5FD1">
        <w:rPr>
          <w:rFonts w:eastAsia="Malgun Gothic"/>
          <w:sz w:val="22"/>
          <w:lang w:eastAsia="de-DE"/>
        </w:rPr>
        <w:t xml:space="preserve"> for NCR-MT: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67"/>
        <w:gridCol w:w="1276"/>
        <w:gridCol w:w="1701"/>
        <w:gridCol w:w="1134"/>
        <w:gridCol w:w="1134"/>
        <w:gridCol w:w="1460"/>
        <w:gridCol w:w="1516"/>
      </w:tblGrid>
      <w:tr w:rsidR="00703BD3" w:rsidRPr="00496531" w14:paraId="600EF403" w14:textId="77777777" w:rsidTr="001C5FD1">
        <w:trPr>
          <w:jc w:val="center"/>
        </w:trPr>
        <w:tc>
          <w:tcPr>
            <w:tcW w:w="846" w:type="dxa"/>
            <w:hideMark/>
          </w:tcPr>
          <w:p w14:paraId="260537D8"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Features</w:t>
            </w:r>
          </w:p>
        </w:tc>
        <w:tc>
          <w:tcPr>
            <w:tcW w:w="567" w:type="dxa"/>
            <w:hideMark/>
          </w:tcPr>
          <w:p w14:paraId="313C334F"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Index</w:t>
            </w:r>
          </w:p>
        </w:tc>
        <w:tc>
          <w:tcPr>
            <w:tcW w:w="1276" w:type="dxa"/>
            <w:hideMark/>
          </w:tcPr>
          <w:p w14:paraId="6D892F5E"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Feature group</w:t>
            </w:r>
          </w:p>
        </w:tc>
        <w:tc>
          <w:tcPr>
            <w:tcW w:w="1701" w:type="dxa"/>
            <w:hideMark/>
          </w:tcPr>
          <w:p w14:paraId="42EB28E7"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Components</w:t>
            </w:r>
          </w:p>
        </w:tc>
        <w:tc>
          <w:tcPr>
            <w:tcW w:w="1134" w:type="dxa"/>
            <w:hideMark/>
          </w:tcPr>
          <w:p w14:paraId="528CF438"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Need of FDD/TDD differentiation</w:t>
            </w:r>
          </w:p>
        </w:tc>
        <w:tc>
          <w:tcPr>
            <w:tcW w:w="1134" w:type="dxa"/>
            <w:hideMark/>
          </w:tcPr>
          <w:p w14:paraId="0481DB12"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Need of FR1/FR2 differentiation</w:t>
            </w:r>
          </w:p>
        </w:tc>
        <w:tc>
          <w:tcPr>
            <w:tcW w:w="1460" w:type="dxa"/>
            <w:hideMark/>
          </w:tcPr>
          <w:p w14:paraId="04BDE309" w14:textId="77777777" w:rsidR="00703BD3" w:rsidRPr="00496531" w:rsidRDefault="00703BD3" w:rsidP="001C5FD1">
            <w:pPr>
              <w:keepNext/>
              <w:keepLines/>
              <w:spacing w:after="0"/>
              <w:jc w:val="center"/>
              <w:textAlignment w:val="auto"/>
              <w:rPr>
                <w:rFonts w:ascii="Arial" w:hAnsi="Arial" w:cs="Arial"/>
                <w:b/>
                <w:sz w:val="13"/>
              </w:rPr>
            </w:pPr>
            <w:r w:rsidRPr="00496531">
              <w:rPr>
                <w:rFonts w:ascii="Arial" w:hAnsi="Arial" w:cs="Arial"/>
                <w:b/>
                <w:sz w:val="13"/>
              </w:rPr>
              <w:t>Note</w:t>
            </w:r>
          </w:p>
        </w:tc>
        <w:tc>
          <w:tcPr>
            <w:tcW w:w="1516" w:type="dxa"/>
            <w:shd w:val="clear" w:color="auto" w:fill="FFFF00"/>
          </w:tcPr>
          <w:p w14:paraId="03BB8B2B" w14:textId="77777777" w:rsidR="00703BD3" w:rsidRPr="00496531" w:rsidRDefault="00703BD3" w:rsidP="001C5FD1">
            <w:pPr>
              <w:keepNext/>
              <w:keepLines/>
              <w:spacing w:after="0"/>
              <w:jc w:val="center"/>
              <w:textAlignment w:val="auto"/>
              <w:rPr>
                <w:rFonts w:ascii="Arial" w:eastAsia="宋体" w:hAnsi="Arial" w:cs="Arial"/>
                <w:b/>
                <w:sz w:val="13"/>
                <w:lang w:val="en-US" w:eastAsia="zh-CN"/>
              </w:rPr>
            </w:pPr>
            <w:r w:rsidRPr="00496531">
              <w:rPr>
                <w:rFonts w:ascii="Arial" w:eastAsia="宋体" w:hAnsi="Arial" w:cs="Arial"/>
                <w:b/>
                <w:sz w:val="13"/>
                <w:lang w:val="en-US" w:eastAsia="zh-CN"/>
              </w:rPr>
              <w:t>NCR-MT</w:t>
            </w:r>
          </w:p>
          <w:p w14:paraId="4CD69B41" w14:textId="77777777" w:rsidR="00703BD3" w:rsidRPr="00496531" w:rsidRDefault="00703BD3" w:rsidP="001C5FD1">
            <w:pPr>
              <w:keepNext/>
              <w:keepLines/>
              <w:spacing w:after="0"/>
              <w:jc w:val="center"/>
              <w:textAlignment w:val="auto"/>
              <w:rPr>
                <w:rFonts w:ascii="Arial" w:eastAsia="宋体" w:hAnsi="Arial" w:cs="Arial"/>
                <w:b/>
                <w:sz w:val="13"/>
                <w:lang w:val="en-US" w:eastAsia="zh-CN"/>
              </w:rPr>
            </w:pPr>
          </w:p>
        </w:tc>
      </w:tr>
      <w:tr w:rsidR="00703BD3" w:rsidRPr="00496531" w14:paraId="23039046" w14:textId="77777777" w:rsidTr="001C5FD1">
        <w:trPr>
          <w:jc w:val="center"/>
        </w:trPr>
        <w:tc>
          <w:tcPr>
            <w:tcW w:w="846" w:type="dxa"/>
            <w:vMerge w:val="restart"/>
            <w:hideMark/>
          </w:tcPr>
          <w:p w14:paraId="38B40A6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System parameter</w:t>
            </w:r>
          </w:p>
        </w:tc>
        <w:tc>
          <w:tcPr>
            <w:tcW w:w="567" w:type="dxa"/>
            <w:hideMark/>
          </w:tcPr>
          <w:p w14:paraId="6E00002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1-1</w:t>
            </w:r>
          </w:p>
        </w:tc>
        <w:tc>
          <w:tcPr>
            <w:tcW w:w="1276" w:type="dxa"/>
            <w:hideMark/>
          </w:tcPr>
          <w:p w14:paraId="1113109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60kHz of subcarrier spacing for FR1</w:t>
            </w:r>
          </w:p>
        </w:tc>
        <w:tc>
          <w:tcPr>
            <w:tcW w:w="1701" w:type="dxa"/>
            <w:hideMark/>
          </w:tcPr>
          <w:p w14:paraId="236F654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60kHz subcarrier spacing for data channel in FR1</w:t>
            </w:r>
          </w:p>
        </w:tc>
        <w:tc>
          <w:tcPr>
            <w:tcW w:w="1134" w:type="dxa"/>
            <w:hideMark/>
          </w:tcPr>
          <w:p w14:paraId="038CAC5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46BC0F6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tcPr>
          <w:p w14:paraId="37A8743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547EE42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w:t>
            </w:r>
          </w:p>
        </w:tc>
      </w:tr>
      <w:tr w:rsidR="00703BD3" w:rsidRPr="00496531" w14:paraId="0D0A636F" w14:textId="77777777" w:rsidTr="000A71D2">
        <w:trPr>
          <w:jc w:val="center"/>
        </w:trPr>
        <w:tc>
          <w:tcPr>
            <w:tcW w:w="846" w:type="dxa"/>
            <w:vMerge/>
            <w:vAlign w:val="center"/>
            <w:hideMark/>
          </w:tcPr>
          <w:p w14:paraId="5AC29AAE"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shd w:val="clear" w:color="auto" w:fill="FFC000"/>
            <w:hideMark/>
          </w:tcPr>
          <w:p w14:paraId="76B4E97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1-2</w:t>
            </w:r>
          </w:p>
        </w:tc>
        <w:tc>
          <w:tcPr>
            <w:tcW w:w="1276" w:type="dxa"/>
            <w:hideMark/>
          </w:tcPr>
          <w:p w14:paraId="156D556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64QAM modulation for FR2 PDSCH</w:t>
            </w:r>
          </w:p>
        </w:tc>
        <w:tc>
          <w:tcPr>
            <w:tcW w:w="1701" w:type="dxa"/>
            <w:hideMark/>
          </w:tcPr>
          <w:p w14:paraId="1E72C5F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64QAM modulation for FR2 PDSCH</w:t>
            </w:r>
          </w:p>
        </w:tc>
        <w:tc>
          <w:tcPr>
            <w:tcW w:w="1134" w:type="dxa"/>
            <w:hideMark/>
          </w:tcPr>
          <w:p w14:paraId="34212AE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7777FD7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FR2</w:t>
            </w:r>
          </w:p>
        </w:tc>
        <w:tc>
          <w:tcPr>
            <w:tcW w:w="1460" w:type="dxa"/>
            <w:hideMark/>
          </w:tcPr>
          <w:p w14:paraId="5144A43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Capability can be discussed in future, e.g. when low cost device (e.g. IoT) and/or higher frequency band in FR2 are introduced</w:t>
            </w:r>
          </w:p>
        </w:tc>
        <w:tc>
          <w:tcPr>
            <w:tcW w:w="1516" w:type="dxa"/>
            <w:shd w:val="clear" w:color="auto" w:fill="FFFF00"/>
            <w:hideMark/>
          </w:tcPr>
          <w:p w14:paraId="515D8D8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w:t>
            </w:r>
          </w:p>
        </w:tc>
      </w:tr>
      <w:tr w:rsidR="00703BD3" w:rsidRPr="00496531" w14:paraId="721C3041" w14:textId="77777777" w:rsidTr="00701E9F">
        <w:trPr>
          <w:trHeight w:val="960"/>
          <w:jc w:val="center"/>
        </w:trPr>
        <w:tc>
          <w:tcPr>
            <w:tcW w:w="846" w:type="dxa"/>
            <w:vMerge/>
            <w:vAlign w:val="center"/>
            <w:hideMark/>
          </w:tcPr>
          <w:p w14:paraId="1AC8DE51"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vMerge w:val="restart"/>
            <w:shd w:val="clear" w:color="auto" w:fill="auto"/>
            <w:hideMark/>
          </w:tcPr>
          <w:p w14:paraId="2705914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1-4</w:t>
            </w:r>
          </w:p>
        </w:tc>
        <w:tc>
          <w:tcPr>
            <w:tcW w:w="1276" w:type="dxa"/>
            <w:vMerge w:val="restart"/>
            <w:hideMark/>
          </w:tcPr>
          <w:p w14:paraId="1BA3586A"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256QAM for PDSCH</w:t>
            </w:r>
          </w:p>
        </w:tc>
        <w:tc>
          <w:tcPr>
            <w:tcW w:w="1701" w:type="dxa"/>
            <w:vMerge w:val="restart"/>
            <w:hideMark/>
          </w:tcPr>
          <w:p w14:paraId="6483AB8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256QAM for PDSCH</w:t>
            </w:r>
          </w:p>
        </w:tc>
        <w:tc>
          <w:tcPr>
            <w:tcW w:w="1134" w:type="dxa"/>
            <w:vMerge w:val="restart"/>
            <w:hideMark/>
          </w:tcPr>
          <w:p w14:paraId="2A575B4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vMerge w:val="restart"/>
            <w:hideMark/>
          </w:tcPr>
          <w:p w14:paraId="74550CA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hideMark/>
          </w:tcPr>
          <w:p w14:paraId="7DD3516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For FR1, it can be revisited in the future whether the 256QAM is mandated in all UE types or categories</w:t>
            </w:r>
          </w:p>
        </w:tc>
        <w:tc>
          <w:tcPr>
            <w:tcW w:w="1516" w:type="dxa"/>
            <w:shd w:val="clear" w:color="auto" w:fill="FFFF00"/>
            <w:hideMark/>
          </w:tcPr>
          <w:p w14:paraId="2EE714F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eastAsia="en-US"/>
              </w:rPr>
              <w:t>Optional with capability signalling</w:t>
            </w:r>
            <w:r w:rsidRPr="00496531">
              <w:rPr>
                <w:rFonts w:ascii="Arial" w:eastAsia="宋体" w:hAnsi="Arial" w:cs="Arial"/>
                <w:sz w:val="13"/>
                <w:lang w:val="en-US" w:eastAsia="zh-CN"/>
              </w:rPr>
              <w:t xml:space="preserve"> for FR1</w:t>
            </w:r>
          </w:p>
        </w:tc>
      </w:tr>
      <w:tr w:rsidR="00703BD3" w:rsidRPr="00496531" w14:paraId="4869C84A" w14:textId="77777777" w:rsidTr="00701E9F">
        <w:trPr>
          <w:trHeight w:val="1095"/>
          <w:jc w:val="center"/>
        </w:trPr>
        <w:tc>
          <w:tcPr>
            <w:tcW w:w="846" w:type="dxa"/>
            <w:vMerge/>
            <w:vAlign w:val="center"/>
            <w:hideMark/>
          </w:tcPr>
          <w:p w14:paraId="3E74165D"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vMerge/>
            <w:shd w:val="clear" w:color="auto" w:fill="auto"/>
            <w:vAlign w:val="center"/>
            <w:hideMark/>
          </w:tcPr>
          <w:p w14:paraId="068AC53B"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1276" w:type="dxa"/>
            <w:vMerge/>
            <w:vAlign w:val="center"/>
            <w:hideMark/>
          </w:tcPr>
          <w:p w14:paraId="14BD1AF0"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1701" w:type="dxa"/>
            <w:vMerge/>
            <w:vAlign w:val="center"/>
            <w:hideMark/>
          </w:tcPr>
          <w:p w14:paraId="35BF2D00"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1134" w:type="dxa"/>
            <w:vMerge/>
            <w:vAlign w:val="center"/>
            <w:hideMark/>
          </w:tcPr>
          <w:p w14:paraId="022E1B3E"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1134" w:type="dxa"/>
            <w:vMerge/>
            <w:vAlign w:val="center"/>
            <w:hideMark/>
          </w:tcPr>
          <w:p w14:paraId="3DD7BC84"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1460" w:type="dxa"/>
            <w:hideMark/>
          </w:tcPr>
          <w:p w14:paraId="1867E72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For FR2, RAN4 agreed that no BS and UE requirements will be introduced in Rel.15.</w:t>
            </w:r>
          </w:p>
        </w:tc>
        <w:tc>
          <w:tcPr>
            <w:tcW w:w="1516" w:type="dxa"/>
            <w:shd w:val="clear" w:color="auto" w:fill="FFFF00"/>
            <w:hideMark/>
          </w:tcPr>
          <w:p w14:paraId="651A98E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 for FR2</w:t>
            </w:r>
          </w:p>
        </w:tc>
      </w:tr>
      <w:tr w:rsidR="00703BD3" w:rsidRPr="00496531" w14:paraId="468E3E67" w14:textId="77777777" w:rsidTr="001C5FD1">
        <w:trPr>
          <w:jc w:val="center"/>
        </w:trPr>
        <w:tc>
          <w:tcPr>
            <w:tcW w:w="846" w:type="dxa"/>
            <w:vMerge/>
            <w:vAlign w:val="center"/>
            <w:hideMark/>
          </w:tcPr>
          <w:p w14:paraId="1D3592F4"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2B536CD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1-5</w:t>
            </w:r>
          </w:p>
        </w:tc>
        <w:tc>
          <w:tcPr>
            <w:tcW w:w="1276" w:type="dxa"/>
            <w:hideMark/>
          </w:tcPr>
          <w:p w14:paraId="3A83318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256QAM for PUSCH</w:t>
            </w:r>
          </w:p>
        </w:tc>
        <w:tc>
          <w:tcPr>
            <w:tcW w:w="1701" w:type="dxa"/>
            <w:hideMark/>
          </w:tcPr>
          <w:p w14:paraId="56109F9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256QAM for PUSCH</w:t>
            </w:r>
          </w:p>
        </w:tc>
        <w:tc>
          <w:tcPr>
            <w:tcW w:w="1134" w:type="dxa"/>
            <w:hideMark/>
          </w:tcPr>
          <w:p w14:paraId="56C7A55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441E147A"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hideMark/>
          </w:tcPr>
          <w:p w14:paraId="5104766B"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For FR1, RAN4 can further discuss to mandate 256QAM for PUSCH for FR1 in future release.</w:t>
            </w:r>
          </w:p>
          <w:p w14:paraId="333FC88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For FR2, RAN4 agreed that no BS and UE requirements will be introduced in Rel.15.</w:t>
            </w:r>
          </w:p>
        </w:tc>
        <w:tc>
          <w:tcPr>
            <w:tcW w:w="1516" w:type="dxa"/>
            <w:shd w:val="clear" w:color="auto" w:fill="FFFF00"/>
            <w:hideMark/>
          </w:tcPr>
          <w:p w14:paraId="30FBCA5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 (for both FR1 and FR2)</w:t>
            </w:r>
          </w:p>
        </w:tc>
      </w:tr>
      <w:tr w:rsidR="00703BD3" w:rsidRPr="00496531" w14:paraId="670A40E5" w14:textId="77777777" w:rsidTr="001C5FD1">
        <w:trPr>
          <w:jc w:val="center"/>
        </w:trPr>
        <w:tc>
          <w:tcPr>
            <w:tcW w:w="846" w:type="dxa"/>
            <w:vMerge/>
            <w:vAlign w:val="center"/>
            <w:hideMark/>
          </w:tcPr>
          <w:p w14:paraId="59FCC43E"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51015BA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1-6</w:t>
            </w:r>
          </w:p>
        </w:tc>
        <w:tc>
          <w:tcPr>
            <w:tcW w:w="1276" w:type="dxa"/>
            <w:hideMark/>
          </w:tcPr>
          <w:p w14:paraId="3C2633C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pi/2-BPSK for PUSCH</w:t>
            </w:r>
          </w:p>
        </w:tc>
        <w:tc>
          <w:tcPr>
            <w:tcW w:w="1701" w:type="dxa"/>
            <w:hideMark/>
          </w:tcPr>
          <w:p w14:paraId="209CCA1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pi/2-BPSK for PUSCH</w:t>
            </w:r>
          </w:p>
        </w:tc>
        <w:tc>
          <w:tcPr>
            <w:tcW w:w="1134" w:type="dxa"/>
            <w:hideMark/>
          </w:tcPr>
          <w:p w14:paraId="3A01665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62BFE1D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hideMark/>
          </w:tcPr>
          <w:p w14:paraId="76488EF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RAN4 will define the same minimum requirements for pulse-shaped pi/2 BPSK and non-pulse shaped pi/2 BPSK for FR2.</w:t>
            </w:r>
          </w:p>
        </w:tc>
        <w:tc>
          <w:tcPr>
            <w:tcW w:w="1516" w:type="dxa"/>
            <w:shd w:val="clear" w:color="auto" w:fill="FFFF00"/>
          </w:tcPr>
          <w:p w14:paraId="58A2401F"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 for FR1</w:t>
            </w:r>
          </w:p>
          <w:p w14:paraId="6382D8B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p w14:paraId="2DC12DE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Mandatory with capability signalling for FR2</w:t>
            </w:r>
          </w:p>
        </w:tc>
      </w:tr>
      <w:tr w:rsidR="00703BD3" w:rsidRPr="00496531" w14:paraId="799F643B" w14:textId="77777777" w:rsidTr="001C5FD1">
        <w:trPr>
          <w:jc w:val="center"/>
        </w:trPr>
        <w:tc>
          <w:tcPr>
            <w:tcW w:w="846" w:type="dxa"/>
            <w:vMerge/>
            <w:vAlign w:val="center"/>
            <w:hideMark/>
          </w:tcPr>
          <w:p w14:paraId="0F686C75"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3415811F"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1-7</w:t>
            </w:r>
          </w:p>
        </w:tc>
        <w:tc>
          <w:tcPr>
            <w:tcW w:w="1276" w:type="dxa"/>
            <w:hideMark/>
          </w:tcPr>
          <w:p w14:paraId="38075A1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pi/2-BPSK for PUCCH format 3/4</w:t>
            </w:r>
          </w:p>
        </w:tc>
        <w:tc>
          <w:tcPr>
            <w:tcW w:w="1701" w:type="dxa"/>
            <w:hideMark/>
          </w:tcPr>
          <w:p w14:paraId="0D17869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pi/2-BPSK for PUCCH format 3/4</w:t>
            </w:r>
          </w:p>
        </w:tc>
        <w:tc>
          <w:tcPr>
            <w:tcW w:w="1134" w:type="dxa"/>
            <w:hideMark/>
          </w:tcPr>
          <w:p w14:paraId="5A93E43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76A7E2A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tcPr>
          <w:p w14:paraId="21AE3EF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tcPr>
          <w:p w14:paraId="34B2429A"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 for FR1</w:t>
            </w:r>
          </w:p>
          <w:p w14:paraId="35B1E29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p w14:paraId="044F849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en-US"/>
              </w:rPr>
            </w:pPr>
            <w:r w:rsidRPr="00496531">
              <w:rPr>
                <w:rFonts w:ascii="Arial" w:eastAsia="宋体" w:hAnsi="Arial" w:cs="Arial"/>
                <w:sz w:val="13"/>
                <w:lang w:eastAsia="en-US"/>
              </w:rPr>
              <w:t>Mandatory with capability signalling for FR2</w:t>
            </w:r>
          </w:p>
        </w:tc>
      </w:tr>
      <w:tr w:rsidR="00703BD3" w:rsidRPr="00496531" w14:paraId="4779A40C" w14:textId="77777777" w:rsidTr="00701E9F">
        <w:trPr>
          <w:jc w:val="center"/>
        </w:trPr>
        <w:tc>
          <w:tcPr>
            <w:tcW w:w="846" w:type="dxa"/>
            <w:vMerge/>
            <w:vAlign w:val="center"/>
            <w:hideMark/>
          </w:tcPr>
          <w:p w14:paraId="72D52C88"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shd w:val="clear" w:color="auto" w:fill="auto"/>
            <w:hideMark/>
          </w:tcPr>
          <w:p w14:paraId="771A5C6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1-8</w:t>
            </w:r>
          </w:p>
        </w:tc>
        <w:tc>
          <w:tcPr>
            <w:tcW w:w="1276" w:type="dxa"/>
            <w:hideMark/>
          </w:tcPr>
          <w:p w14:paraId="4957FD7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Active BWP switching delay</w:t>
            </w:r>
          </w:p>
        </w:tc>
        <w:tc>
          <w:tcPr>
            <w:tcW w:w="1701" w:type="dxa"/>
            <w:hideMark/>
          </w:tcPr>
          <w:p w14:paraId="4FA47A0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active BWP switching delay specified in TS38.133, candidate values set: {type1, type2}</w:t>
            </w:r>
          </w:p>
        </w:tc>
        <w:tc>
          <w:tcPr>
            <w:tcW w:w="1134" w:type="dxa"/>
            <w:hideMark/>
          </w:tcPr>
          <w:p w14:paraId="73EB362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2189C340"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3D14279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For this feature, RAN4 also sent another LS (R4-1803283).</w:t>
            </w:r>
          </w:p>
          <w:p w14:paraId="493EE42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Network cannot configure the shorter delay for certain UE type.</w:t>
            </w:r>
          </w:p>
        </w:tc>
        <w:tc>
          <w:tcPr>
            <w:tcW w:w="1516" w:type="dxa"/>
            <w:shd w:val="clear" w:color="auto" w:fill="FFFF00"/>
            <w:hideMark/>
          </w:tcPr>
          <w:p w14:paraId="0CC39D63"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w:t>
            </w:r>
          </w:p>
        </w:tc>
      </w:tr>
      <w:tr w:rsidR="001E2D39" w:rsidRPr="00496531" w14:paraId="0FE4D4CD" w14:textId="77777777" w:rsidTr="00566E2B">
        <w:trPr>
          <w:trHeight w:val="3397"/>
          <w:jc w:val="center"/>
        </w:trPr>
        <w:tc>
          <w:tcPr>
            <w:tcW w:w="846" w:type="dxa"/>
            <w:vMerge w:val="restart"/>
            <w:hideMark/>
          </w:tcPr>
          <w:p w14:paraId="2D84B3DF"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lastRenderedPageBreak/>
              <w:t>2. UE RF</w:t>
            </w:r>
          </w:p>
        </w:tc>
        <w:tc>
          <w:tcPr>
            <w:tcW w:w="567" w:type="dxa"/>
            <w:shd w:val="clear" w:color="auto" w:fill="92D050"/>
            <w:hideMark/>
          </w:tcPr>
          <w:p w14:paraId="56F535BF"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w:t>
            </w:r>
          </w:p>
        </w:tc>
        <w:tc>
          <w:tcPr>
            <w:tcW w:w="1276" w:type="dxa"/>
            <w:hideMark/>
          </w:tcPr>
          <w:p w14:paraId="181BC205"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Maximum channel bandwidth supported in each band for DL and UL separately and for each SCS that UE supports within a single CC</w:t>
            </w:r>
          </w:p>
        </w:tc>
        <w:tc>
          <w:tcPr>
            <w:tcW w:w="1701" w:type="dxa"/>
            <w:hideMark/>
          </w:tcPr>
          <w:p w14:paraId="7BEF074A"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FR1 channel bandwidths in TS38.101-1 Table 5.3.5-1</w:t>
            </w:r>
          </w:p>
          <w:p w14:paraId="1BF79B0B"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FR2 channel bandwidths in TS38.101-2 Table 5.3.5-1</w:t>
            </w:r>
          </w:p>
        </w:tc>
        <w:tc>
          <w:tcPr>
            <w:tcW w:w="1134" w:type="dxa"/>
            <w:hideMark/>
          </w:tcPr>
          <w:p w14:paraId="0503C3E6"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7C7F0C4B"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31078CDD"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UE capability signalling shall follow RP-172832 (Per-band capability signalling, separately for DL and UL and for each SCS)</w:t>
            </w:r>
          </w:p>
          <w:p w14:paraId="09B3B841"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p>
          <w:p w14:paraId="4EB05168"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Whether a bandwidth newly introduced in future is mandatory for UE shall be discussed case by case.</w:t>
            </w:r>
          </w:p>
        </w:tc>
        <w:tc>
          <w:tcPr>
            <w:tcW w:w="1516" w:type="dxa"/>
            <w:shd w:val="clear" w:color="auto" w:fill="FFFF00"/>
            <w:hideMark/>
          </w:tcPr>
          <w:p w14:paraId="5D2FDAAC" w14:textId="77777777" w:rsidR="001E2D39" w:rsidRPr="00496531" w:rsidRDefault="001E2D39"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All BW should be optional instead of mandatory for largest channel bandwidth per-band</w:t>
            </w:r>
          </w:p>
        </w:tc>
      </w:tr>
      <w:tr w:rsidR="00703BD3" w:rsidRPr="00496531" w14:paraId="55AF1DA2" w14:textId="77777777" w:rsidTr="001C5FD1">
        <w:trPr>
          <w:jc w:val="center"/>
        </w:trPr>
        <w:tc>
          <w:tcPr>
            <w:tcW w:w="846" w:type="dxa"/>
            <w:vMerge/>
            <w:vAlign w:val="center"/>
            <w:hideMark/>
          </w:tcPr>
          <w:p w14:paraId="5E0552D6"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0D47C71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2-7</w:t>
            </w:r>
          </w:p>
        </w:tc>
        <w:tc>
          <w:tcPr>
            <w:tcW w:w="1276" w:type="dxa"/>
            <w:hideMark/>
          </w:tcPr>
          <w:p w14:paraId="15AE888B"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Almost contiguous UL CP-OFDM</w:t>
            </w:r>
          </w:p>
        </w:tc>
        <w:tc>
          <w:tcPr>
            <w:tcW w:w="1701" w:type="dxa"/>
            <w:hideMark/>
          </w:tcPr>
          <w:p w14:paraId="63B8EA4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Support of almost contiguous UL CP-OFDM transmissions</w:t>
            </w:r>
          </w:p>
        </w:tc>
        <w:tc>
          <w:tcPr>
            <w:tcW w:w="1134" w:type="dxa"/>
            <w:hideMark/>
          </w:tcPr>
          <w:p w14:paraId="48007EF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56135CB0"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hideMark/>
          </w:tcPr>
          <w:p w14:paraId="3FD7A40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RAN4 had defined the requirements for "Almost contiguous UL CP-OFDM" in Rel-15.</w:t>
            </w:r>
          </w:p>
        </w:tc>
        <w:tc>
          <w:tcPr>
            <w:tcW w:w="1516" w:type="dxa"/>
            <w:shd w:val="clear" w:color="auto" w:fill="FFFF00"/>
            <w:hideMark/>
          </w:tcPr>
          <w:p w14:paraId="4EBD77F0"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w:t>
            </w:r>
          </w:p>
        </w:tc>
      </w:tr>
      <w:tr w:rsidR="00703BD3" w:rsidRPr="00496531" w14:paraId="33EA0E60" w14:textId="77777777" w:rsidTr="00701E9F">
        <w:trPr>
          <w:jc w:val="center"/>
        </w:trPr>
        <w:tc>
          <w:tcPr>
            <w:tcW w:w="846" w:type="dxa"/>
            <w:vMerge/>
            <w:vAlign w:val="center"/>
            <w:hideMark/>
          </w:tcPr>
          <w:p w14:paraId="7EC981E2"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shd w:val="clear" w:color="auto" w:fill="FF0000"/>
            <w:hideMark/>
          </w:tcPr>
          <w:p w14:paraId="1388C89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2-12</w:t>
            </w:r>
          </w:p>
        </w:tc>
        <w:tc>
          <w:tcPr>
            <w:tcW w:w="1276" w:type="dxa"/>
            <w:hideMark/>
          </w:tcPr>
          <w:p w14:paraId="01833A1F"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Multiple NS/P-Max</w:t>
            </w:r>
          </w:p>
        </w:tc>
        <w:tc>
          <w:tcPr>
            <w:tcW w:w="1701" w:type="dxa"/>
            <w:hideMark/>
          </w:tcPr>
          <w:p w14:paraId="225969C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Multiple NS/P-Max</w:t>
            </w:r>
          </w:p>
        </w:tc>
        <w:tc>
          <w:tcPr>
            <w:tcW w:w="1134" w:type="dxa"/>
            <w:hideMark/>
          </w:tcPr>
          <w:p w14:paraId="5B3B4803"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0C468F3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09F022C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UE capability</w:t>
            </w:r>
          </w:p>
        </w:tc>
        <w:tc>
          <w:tcPr>
            <w:tcW w:w="1516" w:type="dxa"/>
            <w:shd w:val="clear" w:color="auto" w:fill="FFFF00"/>
            <w:hideMark/>
          </w:tcPr>
          <w:p w14:paraId="5C729C7B"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val="en-US" w:eastAsia="zh-CN"/>
              </w:rPr>
              <w:t xml:space="preserve">Optional </w:t>
            </w:r>
          </w:p>
        </w:tc>
      </w:tr>
      <w:tr w:rsidR="00703BD3" w:rsidRPr="00496531" w14:paraId="3C69956C" w14:textId="77777777" w:rsidTr="001C5FD1">
        <w:trPr>
          <w:jc w:val="center"/>
        </w:trPr>
        <w:tc>
          <w:tcPr>
            <w:tcW w:w="846" w:type="dxa"/>
            <w:vMerge/>
            <w:vAlign w:val="center"/>
            <w:hideMark/>
          </w:tcPr>
          <w:p w14:paraId="6C676993"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564A29FB"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2-14</w:t>
            </w:r>
          </w:p>
        </w:tc>
        <w:tc>
          <w:tcPr>
            <w:tcW w:w="1276" w:type="dxa"/>
            <w:hideMark/>
          </w:tcPr>
          <w:p w14:paraId="76396C8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Power boosting for Pi/2 BPSK for power class 3 UE</w:t>
            </w:r>
          </w:p>
        </w:tc>
        <w:tc>
          <w:tcPr>
            <w:tcW w:w="1701" w:type="dxa"/>
            <w:hideMark/>
          </w:tcPr>
          <w:p w14:paraId="14048767"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Power boosting for Pi/2 BPSK for power class 3 UE in TDD bands n40, n77, n78 and n79 with duty cycle less than 40%</w:t>
            </w:r>
          </w:p>
        </w:tc>
        <w:tc>
          <w:tcPr>
            <w:tcW w:w="1134" w:type="dxa"/>
            <w:hideMark/>
          </w:tcPr>
          <w:p w14:paraId="0CCB3BAF"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TDD</w:t>
            </w:r>
          </w:p>
        </w:tc>
        <w:tc>
          <w:tcPr>
            <w:tcW w:w="1134" w:type="dxa"/>
            <w:hideMark/>
          </w:tcPr>
          <w:p w14:paraId="6BBD641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Applicable only to FR1</w:t>
            </w:r>
          </w:p>
        </w:tc>
        <w:tc>
          <w:tcPr>
            <w:tcW w:w="1460" w:type="dxa"/>
            <w:hideMark/>
          </w:tcPr>
          <w:p w14:paraId="5BB4C28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band capability</w:t>
            </w:r>
          </w:p>
        </w:tc>
        <w:tc>
          <w:tcPr>
            <w:tcW w:w="1516" w:type="dxa"/>
            <w:shd w:val="clear" w:color="auto" w:fill="FFFF00"/>
            <w:hideMark/>
          </w:tcPr>
          <w:p w14:paraId="4098AE7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Optional with capability signalling</w:t>
            </w:r>
          </w:p>
        </w:tc>
      </w:tr>
      <w:tr w:rsidR="00703BD3" w:rsidRPr="00496531" w14:paraId="706AFCC2" w14:textId="77777777" w:rsidTr="001C5FD1">
        <w:trPr>
          <w:jc w:val="center"/>
        </w:trPr>
        <w:tc>
          <w:tcPr>
            <w:tcW w:w="846" w:type="dxa"/>
            <w:vMerge w:val="restart"/>
            <w:hideMark/>
          </w:tcPr>
          <w:p w14:paraId="4DE6718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 Baseband</w:t>
            </w:r>
          </w:p>
        </w:tc>
        <w:tc>
          <w:tcPr>
            <w:tcW w:w="567" w:type="dxa"/>
            <w:hideMark/>
          </w:tcPr>
          <w:p w14:paraId="1C9DF2A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3-1</w:t>
            </w:r>
          </w:p>
        </w:tc>
        <w:tc>
          <w:tcPr>
            <w:tcW w:w="1276" w:type="dxa"/>
            <w:hideMark/>
          </w:tcPr>
          <w:p w14:paraId="7273BE3F"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Independent measurement gap configurations for FR1 and FR2</w:t>
            </w:r>
          </w:p>
        </w:tc>
        <w:tc>
          <w:tcPr>
            <w:tcW w:w="1701" w:type="dxa"/>
            <w:hideMark/>
          </w:tcPr>
          <w:p w14:paraId="5D566A33"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Measurement gaps for FR1 and FR2 are configured independently.</w:t>
            </w:r>
          </w:p>
        </w:tc>
        <w:tc>
          <w:tcPr>
            <w:tcW w:w="1134" w:type="dxa"/>
            <w:hideMark/>
          </w:tcPr>
          <w:p w14:paraId="5735155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2A80C39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28DD0E11"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4371663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Optional</w:t>
            </w:r>
          </w:p>
        </w:tc>
      </w:tr>
      <w:tr w:rsidR="00703BD3" w:rsidRPr="00496531" w14:paraId="54D4A759" w14:textId="77777777" w:rsidTr="001C5FD1">
        <w:trPr>
          <w:jc w:val="center"/>
        </w:trPr>
        <w:tc>
          <w:tcPr>
            <w:tcW w:w="846" w:type="dxa"/>
            <w:vMerge/>
            <w:vAlign w:val="center"/>
            <w:hideMark/>
          </w:tcPr>
          <w:p w14:paraId="536F81D5"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77D49CD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3-2</w:t>
            </w:r>
          </w:p>
        </w:tc>
        <w:tc>
          <w:tcPr>
            <w:tcW w:w="1276" w:type="dxa"/>
            <w:hideMark/>
          </w:tcPr>
          <w:p w14:paraId="3291195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of data and SS block with different numerologies when UE conducts the serving cell measurement or intra-frequency measurement</w:t>
            </w:r>
          </w:p>
        </w:tc>
        <w:tc>
          <w:tcPr>
            <w:tcW w:w="1701" w:type="dxa"/>
            <w:hideMark/>
          </w:tcPr>
          <w:p w14:paraId="03857AD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Simultaneous reception of data and SS block with different numerologies when UE conducts the serving cell measurement or intra-frequency measurement</w:t>
            </w:r>
          </w:p>
        </w:tc>
        <w:tc>
          <w:tcPr>
            <w:tcW w:w="1134" w:type="dxa"/>
            <w:hideMark/>
          </w:tcPr>
          <w:p w14:paraId="32C757D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248187A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Yes</w:t>
            </w:r>
          </w:p>
        </w:tc>
        <w:tc>
          <w:tcPr>
            <w:tcW w:w="1460" w:type="dxa"/>
          </w:tcPr>
          <w:p w14:paraId="183D11F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tc>
        <w:tc>
          <w:tcPr>
            <w:tcW w:w="1516" w:type="dxa"/>
            <w:shd w:val="clear" w:color="auto" w:fill="FFFF00"/>
            <w:hideMark/>
          </w:tcPr>
          <w:p w14:paraId="79E8035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Optional</w:t>
            </w:r>
          </w:p>
        </w:tc>
      </w:tr>
      <w:tr w:rsidR="00703BD3" w:rsidRPr="00496531" w14:paraId="03C33476" w14:textId="77777777" w:rsidTr="001C5FD1">
        <w:trPr>
          <w:jc w:val="center"/>
        </w:trPr>
        <w:tc>
          <w:tcPr>
            <w:tcW w:w="846" w:type="dxa"/>
            <w:vMerge/>
            <w:vAlign w:val="center"/>
            <w:hideMark/>
          </w:tcPr>
          <w:p w14:paraId="7D24E8A8"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0BFE616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3-3</w:t>
            </w:r>
          </w:p>
        </w:tc>
        <w:tc>
          <w:tcPr>
            <w:tcW w:w="1276" w:type="dxa"/>
            <w:hideMark/>
          </w:tcPr>
          <w:p w14:paraId="38EA92E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Short measurement gap</w:t>
            </w:r>
          </w:p>
        </w:tc>
        <w:tc>
          <w:tcPr>
            <w:tcW w:w="1701" w:type="dxa"/>
            <w:hideMark/>
          </w:tcPr>
          <w:p w14:paraId="1A1207B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Measurement gap patterns with short MGL (gap pattern#2, 3, 6, 7, 8, 10) are supported for E-UTRAN measurement. Gap patterns #6, 7, 8, 10 only apply to E-UTRAN measurement when MO includes both E-UTRAN and NR.</w:t>
            </w:r>
          </w:p>
        </w:tc>
        <w:tc>
          <w:tcPr>
            <w:tcW w:w="1134" w:type="dxa"/>
            <w:hideMark/>
          </w:tcPr>
          <w:p w14:paraId="40BE33D2"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5BD6D84D"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tcPr>
          <w:p w14:paraId="5C34FA1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Per UE capability</w:t>
            </w:r>
          </w:p>
          <w:p w14:paraId="776AD7FC"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p>
          <w:p w14:paraId="58ECCF03"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 xml:space="preserve">This capability is signalled as a part of </w:t>
            </w:r>
            <w:proofErr w:type="spellStart"/>
            <w:r w:rsidRPr="00496531">
              <w:rPr>
                <w:rFonts w:ascii="Arial" w:eastAsia="宋体" w:hAnsi="Arial" w:cs="Arial"/>
                <w:i/>
                <w:sz w:val="13"/>
                <w:lang w:eastAsia="en-US"/>
              </w:rPr>
              <w:t>supportedGapPattern</w:t>
            </w:r>
            <w:proofErr w:type="spellEnd"/>
            <w:r w:rsidRPr="00496531">
              <w:rPr>
                <w:rFonts w:ascii="Arial" w:eastAsia="宋体" w:hAnsi="Arial" w:cs="Arial"/>
                <w:sz w:val="13"/>
                <w:lang w:eastAsia="en-US"/>
              </w:rPr>
              <w:t xml:space="preserve"> in TS38.306.</w:t>
            </w:r>
          </w:p>
        </w:tc>
        <w:tc>
          <w:tcPr>
            <w:tcW w:w="1516" w:type="dxa"/>
            <w:shd w:val="clear" w:color="auto" w:fill="FFFF00"/>
            <w:hideMark/>
          </w:tcPr>
          <w:p w14:paraId="0FCE98A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Optional</w:t>
            </w:r>
          </w:p>
        </w:tc>
      </w:tr>
      <w:tr w:rsidR="00703BD3" w:rsidRPr="00496531" w14:paraId="57D84D1B" w14:textId="77777777" w:rsidTr="001C5FD1">
        <w:trPr>
          <w:jc w:val="center"/>
        </w:trPr>
        <w:tc>
          <w:tcPr>
            <w:tcW w:w="846" w:type="dxa"/>
            <w:vMerge/>
            <w:vAlign w:val="center"/>
            <w:hideMark/>
          </w:tcPr>
          <w:p w14:paraId="72C034A8" w14:textId="77777777" w:rsidR="00703BD3" w:rsidRPr="00496531" w:rsidRDefault="00703BD3" w:rsidP="001C5FD1">
            <w:pPr>
              <w:overflowPunct/>
              <w:autoSpaceDE/>
              <w:autoSpaceDN/>
              <w:adjustRightInd/>
              <w:spacing w:after="0"/>
              <w:textAlignment w:val="auto"/>
              <w:rPr>
                <w:rFonts w:ascii="Arial" w:eastAsia="宋体" w:hAnsi="Arial" w:cs="Arial"/>
                <w:sz w:val="13"/>
                <w:lang w:eastAsia="en-US"/>
              </w:rPr>
            </w:pPr>
          </w:p>
        </w:tc>
        <w:tc>
          <w:tcPr>
            <w:tcW w:w="567" w:type="dxa"/>
            <w:hideMark/>
          </w:tcPr>
          <w:p w14:paraId="52B10E29"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3-4</w:t>
            </w:r>
          </w:p>
        </w:tc>
        <w:tc>
          <w:tcPr>
            <w:tcW w:w="1276" w:type="dxa"/>
            <w:hideMark/>
          </w:tcPr>
          <w:p w14:paraId="6D7921EB"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SU-MIMO Interference Mitigation advanced receiver</w:t>
            </w:r>
          </w:p>
        </w:tc>
        <w:tc>
          <w:tcPr>
            <w:tcW w:w="1701" w:type="dxa"/>
            <w:hideMark/>
          </w:tcPr>
          <w:p w14:paraId="5B172B35"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1) R-ML (reduced complexity ML) receivers with enhanced inter-stream interference suppression for SU-MIMO transmissions with rank 2 with 2 RX antennas.</w:t>
            </w:r>
          </w:p>
          <w:p w14:paraId="22E16D64"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2) R-ML (reduced complexity ML) receivers with enhanced inter-stream interference suppression for SU-MIMO transmissions with rank 2, 3, and 4 with 4 RX antennas.</w:t>
            </w:r>
          </w:p>
        </w:tc>
        <w:tc>
          <w:tcPr>
            <w:tcW w:w="1134" w:type="dxa"/>
            <w:hideMark/>
          </w:tcPr>
          <w:p w14:paraId="3D2E66B3"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134" w:type="dxa"/>
            <w:hideMark/>
          </w:tcPr>
          <w:p w14:paraId="3826C4E8"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No</w:t>
            </w:r>
          </w:p>
        </w:tc>
        <w:tc>
          <w:tcPr>
            <w:tcW w:w="1460" w:type="dxa"/>
            <w:hideMark/>
          </w:tcPr>
          <w:p w14:paraId="425CD6FE"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eastAsia="en-US"/>
              </w:rPr>
            </w:pPr>
            <w:r w:rsidRPr="00496531">
              <w:rPr>
                <w:rFonts w:ascii="Arial" w:eastAsia="宋体" w:hAnsi="Arial" w:cs="Arial"/>
                <w:sz w:val="13"/>
                <w:lang w:eastAsia="en-US"/>
              </w:rPr>
              <w:t>UE supporting the feature is required to meet the Enhanced Receiver Type  requirements in TS 38.101-4</w:t>
            </w:r>
          </w:p>
        </w:tc>
        <w:tc>
          <w:tcPr>
            <w:tcW w:w="1516" w:type="dxa"/>
            <w:shd w:val="clear" w:color="auto" w:fill="FFFF00"/>
            <w:hideMark/>
          </w:tcPr>
          <w:p w14:paraId="7EB09886" w14:textId="77777777" w:rsidR="00703BD3" w:rsidRPr="00496531" w:rsidRDefault="00703BD3" w:rsidP="001C5FD1">
            <w:pPr>
              <w:keepNext/>
              <w:keepLines/>
              <w:overflowPunct/>
              <w:autoSpaceDE/>
              <w:autoSpaceDN/>
              <w:adjustRightInd/>
              <w:spacing w:after="0"/>
              <w:textAlignment w:val="auto"/>
              <w:rPr>
                <w:rFonts w:ascii="Arial" w:eastAsia="宋体" w:hAnsi="Arial" w:cs="Arial"/>
                <w:sz w:val="13"/>
                <w:lang w:val="en-US" w:eastAsia="zh-CN"/>
              </w:rPr>
            </w:pPr>
            <w:r w:rsidRPr="00496531">
              <w:rPr>
                <w:rFonts w:ascii="Arial" w:eastAsia="宋体" w:hAnsi="Arial" w:cs="Arial"/>
                <w:sz w:val="13"/>
                <w:lang w:val="en-US" w:eastAsia="zh-CN"/>
              </w:rPr>
              <w:t>Optional</w:t>
            </w:r>
          </w:p>
        </w:tc>
      </w:tr>
    </w:tbl>
    <w:p w14:paraId="66405A7A" w14:textId="0427F972" w:rsidR="001E2D39" w:rsidRDefault="00D57B4D" w:rsidP="006A3E29">
      <w:pPr>
        <w:spacing w:beforeLines="50" w:before="120" w:after="120"/>
        <w:textAlignment w:val="auto"/>
        <w:rPr>
          <w:rFonts w:eastAsia="等线"/>
          <w:sz w:val="22"/>
          <w:lang w:eastAsia="zh-CN"/>
        </w:rPr>
      </w:pPr>
      <w:r>
        <w:rPr>
          <w:rFonts w:eastAsia="等线"/>
          <w:sz w:val="22"/>
          <w:lang w:eastAsia="zh-CN"/>
        </w:rPr>
        <w:t>For the above listed FGs</w:t>
      </w:r>
      <w:r>
        <w:rPr>
          <w:rFonts w:eastAsia="等线" w:hint="eastAsia"/>
          <w:sz w:val="22"/>
          <w:lang w:eastAsia="zh-CN"/>
        </w:rPr>
        <w:t>,</w:t>
      </w:r>
      <w:r>
        <w:rPr>
          <w:rFonts w:eastAsia="等线"/>
          <w:sz w:val="22"/>
          <w:lang w:eastAsia="zh-CN"/>
        </w:rPr>
        <w:t xml:space="preserve"> as they are optional with capability signalling, the corresponding optional capability IEs should be defined in TS</w:t>
      </w:r>
      <w:r w:rsidR="009D5628">
        <w:rPr>
          <w:rFonts w:eastAsia="等线"/>
          <w:sz w:val="22"/>
          <w:lang w:eastAsia="zh-CN"/>
        </w:rPr>
        <w:t xml:space="preserve"> </w:t>
      </w:r>
      <w:r>
        <w:rPr>
          <w:rFonts w:eastAsia="等线"/>
          <w:sz w:val="22"/>
          <w:lang w:eastAsia="zh-CN"/>
        </w:rPr>
        <w:t>38</w:t>
      </w:r>
      <w:r w:rsidR="009D5628">
        <w:rPr>
          <w:rFonts w:eastAsia="等线"/>
          <w:sz w:val="22"/>
          <w:lang w:eastAsia="zh-CN"/>
        </w:rPr>
        <w:t>.</w:t>
      </w:r>
      <w:r>
        <w:rPr>
          <w:rFonts w:eastAsia="等线"/>
          <w:sz w:val="22"/>
          <w:lang w:eastAsia="zh-CN"/>
        </w:rPr>
        <w:t>331 and TS</w:t>
      </w:r>
      <w:r w:rsidR="009D5628">
        <w:rPr>
          <w:rFonts w:eastAsia="等线"/>
          <w:sz w:val="22"/>
          <w:lang w:eastAsia="zh-CN"/>
        </w:rPr>
        <w:t xml:space="preserve"> </w:t>
      </w:r>
      <w:r>
        <w:rPr>
          <w:rFonts w:eastAsia="等线"/>
          <w:sz w:val="22"/>
          <w:lang w:eastAsia="zh-CN"/>
        </w:rPr>
        <w:t>38</w:t>
      </w:r>
      <w:r w:rsidR="009D5628">
        <w:rPr>
          <w:rFonts w:eastAsia="等线"/>
          <w:sz w:val="22"/>
          <w:lang w:eastAsia="zh-CN"/>
        </w:rPr>
        <w:t>.</w:t>
      </w:r>
      <w:r>
        <w:rPr>
          <w:rFonts w:eastAsia="等线"/>
          <w:sz w:val="22"/>
          <w:lang w:eastAsia="zh-CN"/>
        </w:rPr>
        <w:t>306. Among them,</w:t>
      </w:r>
      <w:r w:rsidR="001E2D39">
        <w:rPr>
          <w:rFonts w:eastAsia="等线"/>
          <w:sz w:val="22"/>
          <w:lang w:eastAsia="zh-CN"/>
        </w:rPr>
        <w:t xml:space="preserve"> </w:t>
      </w:r>
      <w:r>
        <w:rPr>
          <w:rFonts w:eastAsia="等线"/>
          <w:sz w:val="22"/>
          <w:lang w:eastAsia="zh-CN"/>
        </w:rPr>
        <w:t>f</w:t>
      </w:r>
      <w:r w:rsidR="001E2D39">
        <w:rPr>
          <w:rFonts w:eastAsia="等线"/>
          <w:sz w:val="22"/>
          <w:lang w:eastAsia="zh-CN"/>
        </w:rPr>
        <w:t>or different capabilities, the handling should be different as follows:</w:t>
      </w:r>
    </w:p>
    <w:p w14:paraId="4CD13FCC" w14:textId="235A859E" w:rsidR="00D57B4D" w:rsidRDefault="001E2D39" w:rsidP="001E2D39">
      <w:pPr>
        <w:pStyle w:val="af8"/>
        <w:numPr>
          <w:ilvl w:val="0"/>
          <w:numId w:val="33"/>
        </w:numPr>
        <w:spacing w:beforeLines="50" w:before="120" w:after="120"/>
        <w:ind w:firstLineChars="0"/>
        <w:textAlignment w:val="auto"/>
        <w:rPr>
          <w:rFonts w:eastAsia="等线"/>
          <w:sz w:val="22"/>
          <w:lang w:eastAsia="zh-CN"/>
        </w:rPr>
      </w:pPr>
      <w:r w:rsidRPr="00CE4B00">
        <w:rPr>
          <w:rFonts w:eastAsia="等线"/>
          <w:sz w:val="22"/>
          <w:lang w:eastAsia="zh-CN"/>
        </w:rPr>
        <w:t xml:space="preserve">For </w:t>
      </w:r>
      <w:r>
        <w:rPr>
          <w:rFonts w:eastAsia="等线"/>
          <w:sz w:val="22"/>
          <w:lang w:eastAsia="zh-CN"/>
        </w:rPr>
        <w:t>FG1-</w:t>
      </w:r>
      <w:r w:rsidR="00D57B4D">
        <w:rPr>
          <w:rFonts w:eastAsia="等线"/>
          <w:sz w:val="22"/>
          <w:lang w:eastAsia="zh-CN"/>
        </w:rPr>
        <w:t>1</w:t>
      </w:r>
      <w:r>
        <w:rPr>
          <w:rFonts w:eastAsia="等线"/>
          <w:sz w:val="22"/>
          <w:lang w:eastAsia="zh-CN"/>
        </w:rPr>
        <w:t>, FG1-</w:t>
      </w:r>
      <w:r w:rsidR="00D57B4D">
        <w:rPr>
          <w:rFonts w:eastAsia="等线"/>
          <w:sz w:val="22"/>
          <w:lang w:eastAsia="zh-CN"/>
        </w:rPr>
        <w:t>5</w:t>
      </w:r>
      <w:r>
        <w:rPr>
          <w:rFonts w:eastAsia="等线"/>
          <w:sz w:val="22"/>
          <w:lang w:eastAsia="zh-CN"/>
        </w:rPr>
        <w:t xml:space="preserve">, </w:t>
      </w:r>
      <w:r w:rsidR="00D57B4D">
        <w:rPr>
          <w:rFonts w:eastAsia="等线"/>
          <w:sz w:val="22"/>
          <w:lang w:eastAsia="zh-CN"/>
        </w:rPr>
        <w:t xml:space="preserve">FG1-6, FG1-7, </w:t>
      </w:r>
      <w:r>
        <w:rPr>
          <w:rFonts w:eastAsia="等线"/>
          <w:sz w:val="22"/>
          <w:lang w:eastAsia="zh-CN"/>
        </w:rPr>
        <w:t>FG2-</w:t>
      </w:r>
      <w:r w:rsidR="00D57B4D">
        <w:rPr>
          <w:rFonts w:eastAsia="等线"/>
          <w:sz w:val="22"/>
          <w:lang w:eastAsia="zh-CN"/>
        </w:rPr>
        <w:t>7</w:t>
      </w:r>
      <w:r>
        <w:rPr>
          <w:rFonts w:eastAsia="等线"/>
          <w:sz w:val="22"/>
          <w:lang w:eastAsia="zh-CN"/>
        </w:rPr>
        <w:t>, FG2-</w:t>
      </w:r>
      <w:r w:rsidR="00D57B4D">
        <w:rPr>
          <w:rFonts w:eastAsia="等线"/>
          <w:sz w:val="22"/>
          <w:lang w:eastAsia="zh-CN"/>
        </w:rPr>
        <w:t>14</w:t>
      </w:r>
      <w:r>
        <w:rPr>
          <w:rFonts w:eastAsia="等线"/>
          <w:sz w:val="22"/>
          <w:lang w:eastAsia="zh-CN"/>
        </w:rPr>
        <w:t>, FG</w:t>
      </w:r>
      <w:r w:rsidR="00D57B4D">
        <w:rPr>
          <w:rFonts w:eastAsia="等线"/>
          <w:sz w:val="22"/>
          <w:lang w:eastAsia="zh-CN"/>
        </w:rPr>
        <w:t>3</w:t>
      </w:r>
      <w:r>
        <w:rPr>
          <w:rFonts w:eastAsia="等线"/>
          <w:sz w:val="22"/>
          <w:lang w:eastAsia="zh-CN"/>
        </w:rPr>
        <w:t>-</w:t>
      </w:r>
      <w:r w:rsidR="00D57B4D">
        <w:rPr>
          <w:rFonts w:eastAsia="等线"/>
          <w:sz w:val="22"/>
          <w:lang w:eastAsia="zh-CN"/>
        </w:rPr>
        <w:t>1</w:t>
      </w:r>
      <w:r>
        <w:rPr>
          <w:rFonts w:eastAsia="等线"/>
          <w:sz w:val="22"/>
          <w:lang w:eastAsia="zh-CN"/>
        </w:rPr>
        <w:t xml:space="preserve">, </w:t>
      </w:r>
      <w:r w:rsidR="00D57B4D">
        <w:rPr>
          <w:rFonts w:eastAsia="等线"/>
          <w:sz w:val="22"/>
          <w:lang w:eastAsia="zh-CN"/>
        </w:rPr>
        <w:t>FG3-2, FG3-3 and FG3-4, as they are also optional for the normal UEs, the exis</w:t>
      </w:r>
      <w:r w:rsidR="001C0F58">
        <w:rPr>
          <w:rFonts w:eastAsia="等线"/>
          <w:sz w:val="22"/>
          <w:lang w:eastAsia="zh-CN"/>
        </w:rPr>
        <w:t>ting optional capability IEs can be reused for NCR-MT.</w:t>
      </w:r>
    </w:p>
    <w:p w14:paraId="55B8D0CD" w14:textId="5CF027FA" w:rsidR="00C54D4B" w:rsidRDefault="00C54D4B" w:rsidP="001C5FD1">
      <w:pPr>
        <w:pStyle w:val="af8"/>
        <w:numPr>
          <w:ilvl w:val="0"/>
          <w:numId w:val="33"/>
        </w:numPr>
        <w:spacing w:beforeLines="50" w:before="120" w:after="120"/>
        <w:ind w:firstLineChars="0"/>
        <w:textAlignment w:val="auto"/>
        <w:rPr>
          <w:rFonts w:eastAsia="等线"/>
          <w:sz w:val="22"/>
          <w:lang w:eastAsia="zh-CN"/>
        </w:rPr>
      </w:pPr>
      <w:r>
        <w:rPr>
          <w:rFonts w:eastAsia="等线" w:hint="eastAsia"/>
          <w:sz w:val="22"/>
          <w:lang w:eastAsia="zh-CN"/>
        </w:rPr>
        <w:t>F</w:t>
      </w:r>
      <w:r>
        <w:rPr>
          <w:rFonts w:eastAsia="等线"/>
          <w:sz w:val="22"/>
          <w:lang w:eastAsia="zh-CN"/>
        </w:rPr>
        <w:t xml:space="preserve">or </w:t>
      </w:r>
      <w:r w:rsidR="00425CF4">
        <w:rPr>
          <w:rFonts w:eastAsia="等线"/>
          <w:sz w:val="22"/>
          <w:lang w:eastAsia="zh-CN"/>
        </w:rPr>
        <w:t>FG1-4</w:t>
      </w:r>
      <w:r w:rsidR="00701E9F">
        <w:rPr>
          <w:rFonts w:eastAsia="等线"/>
          <w:sz w:val="22"/>
          <w:lang w:eastAsia="zh-CN"/>
        </w:rPr>
        <w:t xml:space="preserve"> and </w:t>
      </w:r>
      <w:r w:rsidR="00425CF4">
        <w:rPr>
          <w:rFonts w:eastAsia="等线"/>
          <w:sz w:val="22"/>
          <w:lang w:eastAsia="zh-CN"/>
        </w:rPr>
        <w:t>FG1-8</w:t>
      </w:r>
      <w:r>
        <w:rPr>
          <w:rFonts w:eastAsia="等线"/>
          <w:sz w:val="22"/>
          <w:lang w:eastAsia="zh-CN"/>
        </w:rPr>
        <w:t xml:space="preserve">, as there </w:t>
      </w:r>
      <w:r w:rsidR="00425CF4">
        <w:rPr>
          <w:rFonts w:eastAsia="等线"/>
          <w:sz w:val="22"/>
          <w:lang w:eastAsia="zh-CN"/>
        </w:rPr>
        <w:t>are</w:t>
      </w:r>
      <w:r>
        <w:rPr>
          <w:rFonts w:eastAsia="等线"/>
          <w:sz w:val="22"/>
          <w:lang w:eastAsia="zh-CN"/>
        </w:rPr>
        <w:t xml:space="preserve"> existing </w:t>
      </w:r>
      <w:r w:rsidR="00701E9F">
        <w:rPr>
          <w:rFonts w:eastAsia="等线"/>
          <w:sz w:val="22"/>
          <w:lang w:eastAsia="zh-CN"/>
        </w:rPr>
        <w:t>field</w:t>
      </w:r>
      <w:r w:rsidR="00425CF4">
        <w:rPr>
          <w:rFonts w:eastAsia="等线"/>
          <w:sz w:val="22"/>
          <w:lang w:eastAsia="zh-CN"/>
        </w:rPr>
        <w:t>s</w:t>
      </w:r>
      <w:r>
        <w:rPr>
          <w:rFonts w:eastAsia="等线"/>
          <w:sz w:val="22"/>
          <w:lang w:eastAsia="zh-CN"/>
        </w:rPr>
        <w:t xml:space="preserve">, </w:t>
      </w:r>
      <w:r w:rsidR="00701E9F">
        <w:rPr>
          <w:rFonts w:eastAsia="等线"/>
          <w:sz w:val="22"/>
          <w:lang w:eastAsia="zh-CN"/>
        </w:rPr>
        <w:t>they can be reused with some clarification in the field descriptions</w:t>
      </w:r>
      <w:r>
        <w:rPr>
          <w:rFonts w:eastAsia="等线"/>
          <w:sz w:val="22"/>
          <w:lang w:eastAsia="zh-CN"/>
        </w:rPr>
        <w:t>.</w:t>
      </w:r>
    </w:p>
    <w:p w14:paraId="3E69827F" w14:textId="69C94F6E" w:rsidR="00701E9F" w:rsidRPr="00701E9F" w:rsidRDefault="00701E9F" w:rsidP="00701E9F">
      <w:pPr>
        <w:pStyle w:val="af8"/>
        <w:numPr>
          <w:ilvl w:val="0"/>
          <w:numId w:val="33"/>
        </w:numPr>
        <w:spacing w:beforeLines="50" w:before="120" w:after="120"/>
        <w:ind w:firstLineChars="0"/>
        <w:textAlignment w:val="auto"/>
        <w:rPr>
          <w:rFonts w:eastAsia="等线"/>
          <w:sz w:val="22"/>
          <w:lang w:eastAsia="zh-CN"/>
        </w:rPr>
      </w:pPr>
      <w:r>
        <w:rPr>
          <w:rFonts w:eastAsia="等线" w:hint="eastAsia"/>
          <w:sz w:val="22"/>
          <w:lang w:eastAsia="zh-CN"/>
        </w:rPr>
        <w:lastRenderedPageBreak/>
        <w:t>F</w:t>
      </w:r>
      <w:r>
        <w:rPr>
          <w:rFonts w:eastAsia="等线"/>
          <w:sz w:val="22"/>
          <w:lang w:eastAsia="zh-CN"/>
        </w:rPr>
        <w:t>or FG1-2 and FG2-1 (</w:t>
      </w:r>
      <w:r w:rsidRPr="001C5FD1">
        <w:rPr>
          <w:rFonts w:eastAsia="等线"/>
          <w:sz w:val="22"/>
          <w:shd w:val="clear" w:color="auto" w:fill="92D050"/>
          <w:lang w:eastAsia="zh-CN"/>
        </w:rPr>
        <w:t>highlighted in green</w:t>
      </w:r>
      <w:r>
        <w:rPr>
          <w:rFonts w:eastAsia="等线"/>
          <w:sz w:val="22"/>
          <w:lang w:eastAsia="zh-CN"/>
        </w:rPr>
        <w:t>), as there are no existing fields for them, new optional capability IEs should be introduced in TS 38.331 and TS 38.306.</w:t>
      </w:r>
    </w:p>
    <w:p w14:paraId="05B776F3" w14:textId="6B291ED7" w:rsidR="001E2D39" w:rsidRPr="00CE4B00" w:rsidRDefault="009D5628" w:rsidP="00C10976">
      <w:pPr>
        <w:pStyle w:val="af8"/>
        <w:numPr>
          <w:ilvl w:val="0"/>
          <w:numId w:val="33"/>
        </w:numPr>
        <w:spacing w:beforeLines="50" w:before="120" w:after="120"/>
        <w:ind w:firstLineChars="0"/>
        <w:textAlignment w:val="auto"/>
        <w:rPr>
          <w:rFonts w:eastAsia="等线"/>
          <w:sz w:val="22"/>
          <w:lang w:eastAsia="zh-CN"/>
        </w:rPr>
      </w:pPr>
      <w:r>
        <w:rPr>
          <w:rFonts w:eastAsia="等线"/>
          <w:sz w:val="22"/>
          <w:lang w:eastAsia="zh-CN"/>
        </w:rPr>
        <w:t>Specially, for FG2-12 (</w:t>
      </w:r>
      <w:r w:rsidRPr="00991546">
        <w:rPr>
          <w:rFonts w:eastAsia="等线"/>
          <w:sz w:val="22"/>
          <w:shd w:val="clear" w:color="auto" w:fill="FF0000"/>
          <w:lang w:eastAsia="zh-CN"/>
        </w:rPr>
        <w:t>highlighted in red</w:t>
      </w:r>
      <w:r>
        <w:rPr>
          <w:rFonts w:eastAsia="等线"/>
          <w:sz w:val="22"/>
          <w:lang w:eastAsia="zh-CN"/>
        </w:rPr>
        <w:t xml:space="preserve">), it is </w:t>
      </w:r>
      <w:r w:rsidR="00231725">
        <w:rPr>
          <w:rFonts w:eastAsia="等线"/>
          <w:sz w:val="22"/>
          <w:lang w:eastAsia="zh-CN"/>
        </w:rPr>
        <w:t>marked</w:t>
      </w:r>
      <w:r>
        <w:rPr>
          <w:rFonts w:eastAsia="等线"/>
          <w:sz w:val="22"/>
          <w:lang w:eastAsia="zh-CN"/>
        </w:rPr>
        <w:t xml:space="preserve"> as optional in the feature list, but we understand it should be not applicable to the NCR-MT</w:t>
      </w:r>
      <w:r w:rsidR="00C0726E">
        <w:rPr>
          <w:rFonts w:eastAsia="等线"/>
          <w:sz w:val="22"/>
          <w:lang w:eastAsia="zh-CN"/>
        </w:rPr>
        <w:t>.</w:t>
      </w:r>
      <w:r w:rsidR="00C10976">
        <w:rPr>
          <w:rFonts w:eastAsia="等线"/>
          <w:sz w:val="22"/>
          <w:lang w:eastAsia="zh-CN"/>
        </w:rPr>
        <w:t xml:space="preserve"> </w:t>
      </w:r>
      <w:r w:rsidR="00194748">
        <w:rPr>
          <w:rFonts w:eastAsia="等线"/>
          <w:sz w:val="22"/>
          <w:lang w:eastAsia="zh-CN"/>
        </w:rPr>
        <w:t>There was a CR agreed for this [3] and it has already been captured in TS 38.331 that t</w:t>
      </w:r>
      <w:r>
        <w:rPr>
          <w:rFonts w:eastAsia="等线"/>
          <w:sz w:val="22"/>
          <w:lang w:eastAsia="zh-CN"/>
        </w:rPr>
        <w:t xml:space="preserve">he NCR-MT </w:t>
      </w:r>
      <w:r w:rsidR="00231725">
        <w:rPr>
          <w:rFonts w:eastAsia="等线"/>
          <w:sz w:val="22"/>
          <w:lang w:eastAsia="zh-CN"/>
        </w:rPr>
        <w:t xml:space="preserve">should </w:t>
      </w:r>
      <w:r>
        <w:rPr>
          <w:rFonts w:eastAsia="等线"/>
          <w:sz w:val="22"/>
          <w:lang w:eastAsia="zh-CN"/>
        </w:rPr>
        <w:t xml:space="preserve">ignore </w:t>
      </w:r>
      <w:r w:rsidR="0087052D">
        <w:rPr>
          <w:rFonts w:eastAsia="等线"/>
          <w:sz w:val="22"/>
          <w:lang w:eastAsia="zh-CN"/>
        </w:rPr>
        <w:t xml:space="preserve">the </w:t>
      </w:r>
      <w:r w:rsidR="00194748" w:rsidRPr="00194748">
        <w:rPr>
          <w:rFonts w:eastAsia="等线"/>
          <w:i/>
          <w:sz w:val="22"/>
          <w:lang w:eastAsia="zh-CN"/>
        </w:rPr>
        <w:t>p-Max</w:t>
      </w:r>
      <w:r w:rsidR="0087052D">
        <w:rPr>
          <w:rFonts w:eastAsia="等线"/>
          <w:i/>
          <w:sz w:val="22"/>
          <w:lang w:eastAsia="zh-CN"/>
        </w:rPr>
        <w:t xml:space="preserve"> </w:t>
      </w:r>
      <w:r w:rsidR="0087052D" w:rsidRPr="0087052D">
        <w:rPr>
          <w:rFonts w:eastAsia="等线"/>
          <w:sz w:val="22"/>
          <w:lang w:eastAsia="zh-CN"/>
        </w:rPr>
        <w:t xml:space="preserve">and </w:t>
      </w:r>
      <w:r w:rsidR="00194748">
        <w:rPr>
          <w:rFonts w:eastAsia="等线"/>
          <w:i/>
          <w:sz w:val="22"/>
          <w:lang w:eastAsia="zh-CN"/>
        </w:rPr>
        <w:t>nr</w:t>
      </w:r>
      <w:r w:rsidR="00C10976" w:rsidRPr="00231725">
        <w:rPr>
          <w:rFonts w:eastAsia="等线"/>
          <w:i/>
          <w:sz w:val="22"/>
          <w:lang w:eastAsia="zh-CN"/>
        </w:rPr>
        <w:t>-NS-</w:t>
      </w:r>
      <w:proofErr w:type="spellStart"/>
      <w:r w:rsidR="00C10976" w:rsidRPr="00231725">
        <w:rPr>
          <w:rFonts w:eastAsia="等线"/>
          <w:i/>
          <w:sz w:val="22"/>
          <w:lang w:eastAsia="zh-CN"/>
        </w:rPr>
        <w:t>PmaxList</w:t>
      </w:r>
      <w:proofErr w:type="spellEnd"/>
      <w:r w:rsidR="00C10976">
        <w:rPr>
          <w:rFonts w:eastAsia="等线"/>
          <w:sz w:val="22"/>
          <w:lang w:eastAsia="zh-CN"/>
        </w:rPr>
        <w:t xml:space="preserve"> </w:t>
      </w:r>
      <w:r w:rsidR="0087052D">
        <w:rPr>
          <w:rFonts w:eastAsia="等线"/>
          <w:sz w:val="22"/>
          <w:lang w:eastAsia="zh-CN"/>
        </w:rPr>
        <w:t xml:space="preserve">fields in SIB </w:t>
      </w:r>
      <w:r w:rsidR="00194748">
        <w:rPr>
          <w:rFonts w:eastAsia="等线"/>
          <w:sz w:val="22"/>
          <w:lang w:eastAsia="zh-CN"/>
        </w:rPr>
        <w:t xml:space="preserve">and only follow the </w:t>
      </w:r>
      <w:r w:rsidR="0087052D" w:rsidRPr="0087052D">
        <w:rPr>
          <w:rFonts w:eastAsia="等线"/>
          <w:sz w:val="22"/>
          <w:lang w:eastAsia="zh-CN"/>
        </w:rPr>
        <w:t>output power and emissions requirements</w:t>
      </w:r>
      <w:r w:rsidR="00194748">
        <w:rPr>
          <w:rFonts w:eastAsia="等线"/>
          <w:sz w:val="22"/>
          <w:lang w:eastAsia="zh-CN"/>
        </w:rPr>
        <w:t xml:space="preserve"> </w:t>
      </w:r>
      <w:r w:rsidR="00C10976">
        <w:rPr>
          <w:rFonts w:eastAsia="等线"/>
          <w:sz w:val="22"/>
          <w:lang w:eastAsia="zh-CN"/>
        </w:rPr>
        <w:t>specified in TS 38.106</w:t>
      </w:r>
      <w:r w:rsidR="00231725">
        <w:rPr>
          <w:rFonts w:eastAsia="等线"/>
          <w:sz w:val="22"/>
          <w:lang w:eastAsia="zh-CN"/>
        </w:rPr>
        <w:t xml:space="preserve">. </w:t>
      </w:r>
      <w:proofErr w:type="gramStart"/>
      <w:r w:rsidR="0087052D">
        <w:rPr>
          <w:rFonts w:eastAsia="等线"/>
          <w:sz w:val="22"/>
          <w:lang w:eastAsia="zh-CN"/>
        </w:rPr>
        <w:t>So</w:t>
      </w:r>
      <w:proofErr w:type="gramEnd"/>
      <w:r w:rsidR="0087052D">
        <w:rPr>
          <w:rFonts w:eastAsia="等线"/>
          <w:sz w:val="22"/>
          <w:lang w:eastAsia="zh-CN"/>
        </w:rPr>
        <w:t xml:space="preserve"> there is no need for NCR-MT to report this capability. </w:t>
      </w:r>
      <w:r w:rsidR="00231725">
        <w:rPr>
          <w:rFonts w:eastAsia="等线"/>
          <w:sz w:val="22"/>
          <w:lang w:eastAsia="zh-CN"/>
        </w:rPr>
        <w:t xml:space="preserve">For this misalignment, it is better to send </w:t>
      </w:r>
      <w:proofErr w:type="gramStart"/>
      <w:r w:rsidR="00231725">
        <w:rPr>
          <w:rFonts w:eastAsia="等线"/>
          <w:sz w:val="22"/>
          <w:lang w:eastAsia="zh-CN"/>
        </w:rPr>
        <w:t>an</w:t>
      </w:r>
      <w:proofErr w:type="gramEnd"/>
      <w:r w:rsidR="00231725">
        <w:rPr>
          <w:rFonts w:eastAsia="等线"/>
          <w:sz w:val="22"/>
          <w:lang w:eastAsia="zh-CN"/>
        </w:rPr>
        <w:t xml:space="preserve"> LS to RAN4 to confirm.</w:t>
      </w:r>
    </w:p>
    <w:p w14:paraId="62A3F38F" w14:textId="29A32503" w:rsidR="00701E9F" w:rsidRPr="00701E9F" w:rsidRDefault="00701E9F" w:rsidP="00701E9F">
      <w:pPr>
        <w:textAlignment w:val="auto"/>
        <w:rPr>
          <w:rFonts w:eastAsia="等线"/>
          <w:b/>
          <w:sz w:val="22"/>
          <w:lang w:eastAsia="zh-CN"/>
        </w:rPr>
      </w:pPr>
      <w:r w:rsidRPr="00701E9F">
        <w:rPr>
          <w:rFonts w:eastAsia="等线"/>
          <w:b/>
          <w:sz w:val="22"/>
          <w:lang w:eastAsia="zh-CN"/>
        </w:rPr>
        <w:t>Proposal 3</w:t>
      </w:r>
      <w:r>
        <w:rPr>
          <w:rFonts w:eastAsia="等线"/>
          <w:b/>
          <w:sz w:val="22"/>
          <w:lang w:eastAsia="zh-CN"/>
        </w:rPr>
        <w:t>a</w:t>
      </w:r>
      <w:r w:rsidRPr="00701E9F">
        <w:rPr>
          <w:rFonts w:eastAsia="等线"/>
          <w:b/>
          <w:sz w:val="22"/>
          <w:lang w:eastAsia="zh-CN"/>
        </w:rPr>
        <w:t xml:space="preserve">: </w:t>
      </w:r>
      <w:r>
        <w:rPr>
          <w:rFonts w:eastAsia="等线"/>
          <w:b/>
          <w:sz w:val="22"/>
          <w:lang w:eastAsia="zh-CN"/>
        </w:rPr>
        <w:t xml:space="preserve">Clarify in TS 38.306 that </w:t>
      </w:r>
      <w:r w:rsidRPr="00701E9F">
        <w:rPr>
          <w:rFonts w:eastAsia="等线"/>
          <w:b/>
          <w:sz w:val="22"/>
          <w:lang w:eastAsia="zh-CN"/>
        </w:rPr>
        <w:t>FG1-4 and FG1-8</w:t>
      </w:r>
      <w:r>
        <w:rPr>
          <w:rFonts w:eastAsia="等线"/>
          <w:b/>
          <w:sz w:val="22"/>
          <w:lang w:eastAsia="zh-CN"/>
        </w:rPr>
        <w:t xml:space="preserve"> are optional for NCR-MT</w:t>
      </w:r>
      <w:r w:rsidRPr="00701E9F">
        <w:rPr>
          <w:rFonts w:eastAsia="等线"/>
          <w:b/>
          <w:sz w:val="22"/>
          <w:lang w:eastAsia="zh-CN"/>
        </w:rPr>
        <w:t>.</w:t>
      </w:r>
    </w:p>
    <w:p w14:paraId="374DEE13" w14:textId="024B9018" w:rsidR="00ED5C55" w:rsidRDefault="001C0F58" w:rsidP="004F6FF8">
      <w:pPr>
        <w:textAlignment w:val="auto"/>
        <w:rPr>
          <w:rFonts w:eastAsia="等线"/>
          <w:b/>
          <w:sz w:val="22"/>
          <w:lang w:eastAsia="zh-CN"/>
        </w:rPr>
      </w:pPr>
      <w:r w:rsidRPr="00CE4B00">
        <w:rPr>
          <w:rFonts w:eastAsia="等线"/>
          <w:b/>
          <w:sz w:val="22"/>
          <w:lang w:eastAsia="zh-CN"/>
        </w:rPr>
        <w:t xml:space="preserve">Proposal </w:t>
      </w:r>
      <w:r>
        <w:rPr>
          <w:rFonts w:eastAsia="等线"/>
          <w:b/>
          <w:sz w:val="22"/>
          <w:lang w:eastAsia="zh-CN"/>
        </w:rPr>
        <w:t>3</w:t>
      </w:r>
      <w:r w:rsidR="00701E9F">
        <w:rPr>
          <w:rFonts w:eastAsia="等线"/>
          <w:b/>
          <w:sz w:val="22"/>
          <w:lang w:eastAsia="zh-CN"/>
        </w:rPr>
        <w:t>b</w:t>
      </w:r>
      <w:r w:rsidRPr="00CE4B00">
        <w:rPr>
          <w:rFonts w:eastAsia="等线"/>
          <w:b/>
          <w:sz w:val="22"/>
          <w:lang w:eastAsia="zh-CN"/>
        </w:rPr>
        <w:t xml:space="preserve">: </w:t>
      </w:r>
      <w:r>
        <w:rPr>
          <w:rFonts w:eastAsia="等线"/>
          <w:b/>
          <w:sz w:val="22"/>
          <w:lang w:eastAsia="zh-CN"/>
        </w:rPr>
        <w:t xml:space="preserve">Introduce </w:t>
      </w:r>
      <w:r w:rsidRPr="001C0F58">
        <w:rPr>
          <w:rFonts w:eastAsia="等线"/>
          <w:b/>
          <w:sz w:val="22"/>
          <w:lang w:eastAsia="zh-CN"/>
        </w:rPr>
        <w:t xml:space="preserve">new optional capability </w:t>
      </w:r>
      <w:r w:rsidR="00701E9F">
        <w:rPr>
          <w:rFonts w:eastAsia="等线"/>
          <w:b/>
          <w:sz w:val="22"/>
          <w:lang w:eastAsia="zh-CN"/>
        </w:rPr>
        <w:t>field</w:t>
      </w:r>
      <w:r w:rsidRPr="001C0F58">
        <w:rPr>
          <w:rFonts w:eastAsia="等线"/>
          <w:b/>
          <w:sz w:val="22"/>
          <w:lang w:eastAsia="zh-CN"/>
        </w:rPr>
        <w:t xml:space="preserve">s </w:t>
      </w:r>
      <w:r>
        <w:rPr>
          <w:rFonts w:eastAsia="等线"/>
          <w:b/>
          <w:sz w:val="22"/>
          <w:lang w:eastAsia="zh-CN"/>
        </w:rPr>
        <w:t xml:space="preserve">corresponding to </w:t>
      </w:r>
      <w:r w:rsidRPr="001C0F58">
        <w:rPr>
          <w:rFonts w:eastAsia="等线"/>
          <w:b/>
          <w:sz w:val="22"/>
          <w:lang w:eastAsia="zh-CN"/>
        </w:rPr>
        <w:t>FG1-2</w:t>
      </w:r>
      <w:r w:rsidR="00701E9F">
        <w:rPr>
          <w:rFonts w:eastAsia="等线"/>
          <w:b/>
          <w:sz w:val="22"/>
          <w:lang w:eastAsia="zh-CN"/>
        </w:rPr>
        <w:t xml:space="preserve"> </w:t>
      </w:r>
      <w:r w:rsidR="00425CF4" w:rsidRPr="00D43F57">
        <w:rPr>
          <w:rFonts w:eastAsia="等线"/>
          <w:b/>
          <w:sz w:val="22"/>
          <w:lang w:eastAsia="zh-CN"/>
        </w:rPr>
        <w:t>and FG2-1</w:t>
      </w:r>
      <w:r w:rsidR="00425CF4">
        <w:rPr>
          <w:rFonts w:eastAsia="等线"/>
          <w:b/>
          <w:sz w:val="22"/>
          <w:lang w:eastAsia="zh-CN"/>
        </w:rPr>
        <w:t xml:space="preserve"> </w:t>
      </w:r>
      <w:r w:rsidRPr="001C0F58">
        <w:rPr>
          <w:rFonts w:eastAsia="等线"/>
          <w:b/>
          <w:sz w:val="22"/>
          <w:lang w:eastAsia="zh-CN"/>
        </w:rPr>
        <w:t>in TS</w:t>
      </w:r>
      <w:r w:rsidR="009D5628">
        <w:rPr>
          <w:rFonts w:eastAsia="等线"/>
          <w:b/>
          <w:sz w:val="22"/>
          <w:lang w:eastAsia="zh-CN"/>
        </w:rPr>
        <w:t xml:space="preserve"> </w:t>
      </w:r>
      <w:r w:rsidRPr="001C0F58">
        <w:rPr>
          <w:rFonts w:eastAsia="等线"/>
          <w:b/>
          <w:sz w:val="22"/>
          <w:lang w:eastAsia="zh-CN"/>
        </w:rPr>
        <w:t>38</w:t>
      </w:r>
      <w:r w:rsidR="009D5628">
        <w:rPr>
          <w:rFonts w:eastAsia="等线"/>
          <w:b/>
          <w:sz w:val="22"/>
          <w:lang w:eastAsia="zh-CN"/>
        </w:rPr>
        <w:t>.</w:t>
      </w:r>
      <w:r w:rsidRPr="001C0F58">
        <w:rPr>
          <w:rFonts w:eastAsia="等线"/>
          <w:b/>
          <w:sz w:val="22"/>
          <w:lang w:eastAsia="zh-CN"/>
        </w:rPr>
        <w:t>331 and TS</w:t>
      </w:r>
      <w:r w:rsidR="009D5628">
        <w:rPr>
          <w:rFonts w:eastAsia="等线"/>
          <w:b/>
          <w:sz w:val="22"/>
          <w:lang w:eastAsia="zh-CN"/>
        </w:rPr>
        <w:t xml:space="preserve"> </w:t>
      </w:r>
      <w:r w:rsidRPr="001C0F58">
        <w:rPr>
          <w:rFonts w:eastAsia="等线"/>
          <w:b/>
          <w:sz w:val="22"/>
          <w:lang w:eastAsia="zh-CN"/>
        </w:rPr>
        <w:t>38</w:t>
      </w:r>
      <w:r w:rsidR="009D5628">
        <w:rPr>
          <w:rFonts w:eastAsia="等线"/>
          <w:b/>
          <w:sz w:val="22"/>
          <w:lang w:eastAsia="zh-CN"/>
        </w:rPr>
        <w:t>.</w:t>
      </w:r>
      <w:r w:rsidRPr="001C0F58">
        <w:rPr>
          <w:rFonts w:eastAsia="等线"/>
          <w:b/>
          <w:sz w:val="22"/>
          <w:lang w:eastAsia="zh-CN"/>
        </w:rPr>
        <w:t>306</w:t>
      </w:r>
      <w:r>
        <w:rPr>
          <w:rFonts w:eastAsia="等线"/>
          <w:b/>
          <w:sz w:val="22"/>
          <w:lang w:eastAsia="zh-CN"/>
        </w:rPr>
        <w:t xml:space="preserve"> for NCR-MT</w:t>
      </w:r>
      <w:r w:rsidRPr="00CE4B00">
        <w:rPr>
          <w:rFonts w:eastAsia="等线"/>
          <w:b/>
          <w:sz w:val="22"/>
          <w:lang w:eastAsia="zh-CN"/>
        </w:rPr>
        <w:t>.</w:t>
      </w:r>
    </w:p>
    <w:p w14:paraId="6E1B1454" w14:textId="77DB6BCB" w:rsidR="00C0726E" w:rsidRDefault="00C0726E" w:rsidP="004F6FF8">
      <w:pPr>
        <w:textAlignment w:val="auto"/>
        <w:rPr>
          <w:rFonts w:eastAsia="等线"/>
          <w:b/>
          <w:sz w:val="22"/>
          <w:lang w:eastAsia="zh-CN"/>
        </w:rPr>
      </w:pPr>
      <w:r>
        <w:rPr>
          <w:rFonts w:eastAsia="等线"/>
          <w:b/>
          <w:sz w:val="22"/>
          <w:lang w:eastAsia="zh-CN"/>
        </w:rPr>
        <w:t xml:space="preserve">Proposal 4: Send </w:t>
      </w:r>
      <w:proofErr w:type="gramStart"/>
      <w:r w:rsidR="00231725">
        <w:rPr>
          <w:rFonts w:eastAsia="等线"/>
          <w:b/>
          <w:sz w:val="22"/>
          <w:lang w:eastAsia="zh-CN"/>
        </w:rPr>
        <w:t>an</w:t>
      </w:r>
      <w:proofErr w:type="gramEnd"/>
      <w:r w:rsidR="00231725">
        <w:rPr>
          <w:rFonts w:eastAsia="等线"/>
          <w:b/>
          <w:sz w:val="22"/>
          <w:lang w:eastAsia="zh-CN"/>
        </w:rPr>
        <w:t xml:space="preserve"> </w:t>
      </w:r>
      <w:r>
        <w:rPr>
          <w:rFonts w:eastAsia="等线"/>
          <w:b/>
          <w:sz w:val="22"/>
          <w:lang w:eastAsia="zh-CN"/>
        </w:rPr>
        <w:t xml:space="preserve">LS to RAN4 to </w:t>
      </w:r>
      <w:r w:rsidR="00231725">
        <w:rPr>
          <w:rFonts w:eastAsia="等线"/>
          <w:b/>
          <w:sz w:val="22"/>
          <w:lang w:eastAsia="zh-CN"/>
        </w:rPr>
        <w:t>confirm the understanding that</w:t>
      </w:r>
      <w:r>
        <w:rPr>
          <w:rFonts w:eastAsia="等线"/>
          <w:b/>
          <w:sz w:val="22"/>
          <w:lang w:eastAsia="zh-CN"/>
        </w:rPr>
        <w:t xml:space="preserve"> the multiple NS/</w:t>
      </w:r>
      <w:proofErr w:type="spellStart"/>
      <w:r>
        <w:rPr>
          <w:rFonts w:eastAsia="等线"/>
          <w:b/>
          <w:sz w:val="22"/>
          <w:lang w:eastAsia="zh-CN"/>
        </w:rPr>
        <w:t>Pmax</w:t>
      </w:r>
      <w:proofErr w:type="spellEnd"/>
      <w:r>
        <w:rPr>
          <w:rFonts w:eastAsia="等线"/>
          <w:b/>
          <w:sz w:val="22"/>
          <w:lang w:eastAsia="zh-CN"/>
        </w:rPr>
        <w:t xml:space="preserve"> </w:t>
      </w:r>
      <w:r w:rsidR="00231725">
        <w:rPr>
          <w:rFonts w:eastAsia="等线"/>
          <w:b/>
          <w:sz w:val="22"/>
          <w:lang w:eastAsia="zh-CN"/>
        </w:rPr>
        <w:t xml:space="preserve">(FG2-12) is </w:t>
      </w:r>
      <w:r>
        <w:rPr>
          <w:rFonts w:eastAsia="等线"/>
          <w:b/>
          <w:sz w:val="22"/>
          <w:lang w:eastAsia="zh-CN"/>
        </w:rPr>
        <w:t>not applicable to NCR-MT.</w:t>
      </w:r>
    </w:p>
    <w:p w14:paraId="40AB849C" w14:textId="70BAF07D" w:rsidR="0070465F" w:rsidRPr="00701E9F" w:rsidRDefault="0070465F" w:rsidP="004F6FF8">
      <w:pPr>
        <w:textAlignment w:val="auto"/>
        <w:rPr>
          <w:rFonts w:eastAsia="等线"/>
          <w:b/>
          <w:sz w:val="22"/>
          <w:lang w:eastAsia="zh-CN"/>
        </w:rPr>
      </w:pPr>
      <w:r w:rsidRPr="00701E9F">
        <w:rPr>
          <w:rFonts w:eastAsia="等线"/>
          <w:b/>
          <w:sz w:val="22"/>
          <w:lang w:eastAsia="zh-CN"/>
        </w:rPr>
        <w:t>Proposal 5:</w:t>
      </w:r>
      <w:r>
        <w:rPr>
          <w:rFonts w:eastAsia="等线"/>
          <w:b/>
          <w:sz w:val="22"/>
          <w:lang w:eastAsia="zh-CN"/>
        </w:rPr>
        <w:t xml:space="preserve"> </w:t>
      </w:r>
      <w:r w:rsidR="00250074">
        <w:rPr>
          <w:rFonts w:eastAsia="等线"/>
          <w:b/>
          <w:sz w:val="22"/>
          <w:lang w:eastAsia="zh-CN"/>
        </w:rPr>
        <w:t>Agree</w:t>
      </w:r>
      <w:r>
        <w:rPr>
          <w:rFonts w:eastAsia="等线"/>
          <w:b/>
          <w:sz w:val="22"/>
          <w:lang w:eastAsia="zh-CN"/>
        </w:rPr>
        <w:t xml:space="preserve"> the 38331 CR in R2-2406278 and the 38306 CR in R2-2406279</w:t>
      </w:r>
      <w:bookmarkStart w:id="5" w:name="_GoBack"/>
      <w:bookmarkEnd w:id="5"/>
      <w:r>
        <w:rPr>
          <w:rFonts w:eastAsia="等线"/>
          <w:b/>
          <w:sz w:val="22"/>
          <w:lang w:eastAsia="zh-CN"/>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3D8B9222" w:rsidR="00545ADB" w:rsidRPr="001B318A" w:rsidRDefault="00545ADB" w:rsidP="00545ADB">
      <w:pPr>
        <w:textAlignment w:val="auto"/>
        <w:rPr>
          <w:sz w:val="22"/>
          <w:lang w:eastAsia="en-GB"/>
        </w:rPr>
      </w:pPr>
      <w:r w:rsidRPr="001B318A">
        <w:rPr>
          <w:sz w:val="22"/>
          <w:lang w:eastAsia="en-GB"/>
        </w:rPr>
        <w:t xml:space="preserve">This contribution </w:t>
      </w:r>
      <w:r w:rsidR="008B4C73" w:rsidRPr="001B318A">
        <w:rPr>
          <w:rFonts w:eastAsia="宋体"/>
          <w:sz w:val="22"/>
          <w:lang w:eastAsia="zh-CN"/>
        </w:rPr>
        <w:t>provide</w:t>
      </w:r>
      <w:r w:rsidR="00226E07" w:rsidRPr="001B318A">
        <w:rPr>
          <w:rFonts w:eastAsia="宋体"/>
          <w:sz w:val="22"/>
          <w:lang w:eastAsia="zh-CN"/>
        </w:rPr>
        <w:t>s</w:t>
      </w:r>
      <w:r w:rsidR="008B4C73" w:rsidRPr="001B318A">
        <w:rPr>
          <w:rFonts w:eastAsia="宋体"/>
          <w:sz w:val="22"/>
          <w:lang w:eastAsia="zh-CN"/>
        </w:rPr>
        <w:t xml:space="preserve"> </w:t>
      </w:r>
      <w:r w:rsidR="00226E07" w:rsidRPr="001B318A">
        <w:rPr>
          <w:rFonts w:eastAsia="宋体"/>
          <w:sz w:val="22"/>
          <w:lang w:eastAsia="zh-CN"/>
        </w:rPr>
        <w:t xml:space="preserve">discussions </w:t>
      </w:r>
      <w:r w:rsidR="00A25945">
        <w:rPr>
          <w:rFonts w:eastAsia="宋体"/>
          <w:sz w:val="22"/>
          <w:lang w:eastAsia="zh-CN"/>
        </w:rPr>
        <w:t xml:space="preserve">of </w:t>
      </w:r>
      <w:r w:rsidR="00A25945" w:rsidRPr="00A25945">
        <w:rPr>
          <w:rFonts w:eastAsia="宋体"/>
          <w:sz w:val="22"/>
          <w:lang w:eastAsia="zh-CN"/>
        </w:rPr>
        <w:t>RF/RRM capabilities for NCR-MT</w:t>
      </w:r>
      <w:r w:rsidR="000D37FC" w:rsidRPr="001B318A">
        <w:rPr>
          <w:sz w:val="22"/>
          <w:lang w:eastAsia="en-GB"/>
        </w:rPr>
        <w:t xml:space="preserve">. </w:t>
      </w:r>
      <w:r w:rsidR="001C0F58">
        <w:rPr>
          <w:sz w:val="22"/>
          <w:lang w:eastAsia="en-GB"/>
        </w:rPr>
        <w:t>Based on the discussion, t</w:t>
      </w:r>
      <w:r w:rsidR="007123B0">
        <w:rPr>
          <w:sz w:val="22"/>
          <w:lang w:eastAsia="en-GB"/>
        </w:rPr>
        <w:t>he following</w:t>
      </w:r>
      <w:r w:rsidR="000D37FC" w:rsidRPr="001B318A">
        <w:rPr>
          <w:sz w:val="22"/>
          <w:lang w:eastAsia="en-GB"/>
        </w:rPr>
        <w:t xml:space="preserve"> </w:t>
      </w:r>
      <w:r w:rsidR="001C0F58">
        <w:rPr>
          <w:sz w:val="22"/>
          <w:lang w:eastAsia="en-GB"/>
        </w:rPr>
        <w:t>are</w:t>
      </w:r>
      <w:r w:rsidR="001C0F58" w:rsidRPr="001B318A">
        <w:rPr>
          <w:sz w:val="22"/>
          <w:lang w:eastAsia="en-GB"/>
        </w:rPr>
        <w:t xml:space="preserve"> </w:t>
      </w:r>
      <w:r w:rsidR="000D37FC" w:rsidRPr="001B318A">
        <w:rPr>
          <w:sz w:val="22"/>
          <w:lang w:eastAsia="en-GB"/>
        </w:rPr>
        <w:t>proposed:</w:t>
      </w:r>
    </w:p>
    <w:p w14:paraId="78365518" w14:textId="230EE32B" w:rsidR="001C0F58" w:rsidRPr="00CE4B00" w:rsidRDefault="001C0F58" w:rsidP="001C0F58">
      <w:pPr>
        <w:spacing w:beforeLines="50" w:before="120" w:after="120"/>
        <w:textAlignment w:val="auto"/>
        <w:rPr>
          <w:rFonts w:eastAsia="等线"/>
          <w:b/>
          <w:sz w:val="22"/>
          <w:lang w:eastAsia="zh-CN"/>
        </w:rPr>
      </w:pPr>
      <w:r w:rsidRPr="00CE4B00">
        <w:rPr>
          <w:rFonts w:eastAsia="等线"/>
          <w:b/>
          <w:sz w:val="22"/>
          <w:lang w:eastAsia="zh-CN"/>
        </w:rPr>
        <w:t>Proposal 1:</w:t>
      </w:r>
      <w:r>
        <w:rPr>
          <w:rFonts w:eastAsia="等线"/>
          <w:b/>
          <w:sz w:val="22"/>
          <w:lang w:eastAsia="zh-CN"/>
        </w:rPr>
        <w:t xml:space="preserve"> Remove the FGs from </w:t>
      </w:r>
      <w:r w:rsidRPr="003A3037">
        <w:rPr>
          <w:rFonts w:eastAsia="等线"/>
          <w:b/>
          <w:sz w:val="22"/>
          <w:lang w:eastAsia="zh-CN"/>
        </w:rPr>
        <w:t>Table 4.2.23.1-3</w:t>
      </w:r>
      <w:r>
        <w:rPr>
          <w:rFonts w:eastAsia="等线"/>
          <w:b/>
          <w:sz w:val="22"/>
          <w:lang w:eastAsia="zh-CN"/>
        </w:rPr>
        <w:t xml:space="preserve"> of TS</w:t>
      </w:r>
      <w:r w:rsidR="00C0726E">
        <w:rPr>
          <w:rFonts w:eastAsia="等线"/>
          <w:b/>
          <w:sz w:val="22"/>
          <w:lang w:eastAsia="zh-CN"/>
        </w:rPr>
        <w:t xml:space="preserve"> </w:t>
      </w:r>
      <w:r>
        <w:rPr>
          <w:rFonts w:eastAsia="等线"/>
          <w:b/>
          <w:sz w:val="22"/>
          <w:lang w:eastAsia="zh-CN"/>
        </w:rPr>
        <w:t>38.306, except for FG1-3 and FG2-10.</w:t>
      </w:r>
    </w:p>
    <w:p w14:paraId="6A12A4A9" w14:textId="77777777" w:rsidR="00425CF4" w:rsidRDefault="00425CF4" w:rsidP="00425CF4">
      <w:pPr>
        <w:spacing w:beforeLines="50" w:before="120" w:after="120"/>
        <w:textAlignment w:val="auto"/>
        <w:rPr>
          <w:rFonts w:eastAsia="等线"/>
          <w:b/>
          <w:sz w:val="22"/>
          <w:lang w:eastAsia="zh-CN"/>
        </w:rPr>
      </w:pPr>
      <w:r w:rsidRPr="001C5FD1">
        <w:rPr>
          <w:rFonts w:eastAsia="等线"/>
          <w:b/>
          <w:sz w:val="22"/>
          <w:lang w:eastAsia="zh-CN"/>
        </w:rPr>
        <w:t xml:space="preserve">Proposal </w:t>
      </w:r>
      <w:r>
        <w:rPr>
          <w:rFonts w:eastAsia="等线"/>
          <w:b/>
          <w:sz w:val="22"/>
          <w:lang w:eastAsia="zh-CN"/>
        </w:rPr>
        <w:t>2</w:t>
      </w:r>
      <w:r w:rsidRPr="001C5FD1">
        <w:rPr>
          <w:rFonts w:eastAsia="等线"/>
          <w:b/>
          <w:sz w:val="22"/>
          <w:lang w:eastAsia="zh-CN"/>
        </w:rPr>
        <w:t xml:space="preserve">: </w:t>
      </w:r>
      <w:r>
        <w:rPr>
          <w:rFonts w:eastAsia="等线"/>
          <w:b/>
          <w:sz w:val="22"/>
          <w:lang w:eastAsia="zh-CN"/>
        </w:rPr>
        <w:t xml:space="preserve">Clarify in </w:t>
      </w:r>
      <w:r w:rsidRPr="000F213D">
        <w:rPr>
          <w:rFonts w:eastAsia="等线"/>
          <w:b/>
          <w:sz w:val="22"/>
          <w:lang w:eastAsia="zh-CN"/>
        </w:rPr>
        <w:t>TS</w:t>
      </w:r>
      <w:r>
        <w:rPr>
          <w:rFonts w:eastAsia="等线"/>
          <w:b/>
          <w:sz w:val="22"/>
          <w:lang w:eastAsia="zh-CN"/>
        </w:rPr>
        <w:t xml:space="preserve"> </w:t>
      </w:r>
      <w:r w:rsidRPr="000F213D">
        <w:rPr>
          <w:rFonts w:eastAsia="等线"/>
          <w:b/>
          <w:sz w:val="22"/>
          <w:lang w:eastAsia="zh-CN"/>
        </w:rPr>
        <w:t>38</w:t>
      </w:r>
      <w:r>
        <w:rPr>
          <w:rFonts w:eastAsia="等线"/>
          <w:b/>
          <w:sz w:val="22"/>
          <w:lang w:eastAsia="zh-CN"/>
        </w:rPr>
        <w:t>.</w:t>
      </w:r>
      <w:r w:rsidRPr="000F213D">
        <w:rPr>
          <w:rFonts w:eastAsia="等线"/>
          <w:b/>
          <w:sz w:val="22"/>
          <w:lang w:eastAsia="zh-CN"/>
        </w:rPr>
        <w:t>306</w:t>
      </w:r>
      <w:r>
        <w:rPr>
          <w:rFonts w:eastAsia="等线"/>
          <w:b/>
          <w:sz w:val="22"/>
          <w:lang w:eastAsia="zh-CN"/>
        </w:rPr>
        <w:t xml:space="preserve"> that </w:t>
      </w:r>
      <w:r w:rsidRPr="000F213D">
        <w:rPr>
          <w:rFonts w:eastAsia="等线"/>
          <w:b/>
          <w:sz w:val="22"/>
          <w:lang w:eastAsia="zh-CN"/>
        </w:rPr>
        <w:t>FG2-8</w:t>
      </w:r>
      <w:r>
        <w:rPr>
          <w:rFonts w:eastAsia="等线"/>
          <w:b/>
          <w:sz w:val="22"/>
          <w:lang w:eastAsia="zh-CN"/>
        </w:rPr>
        <w:t xml:space="preserve"> and FG1-11 are not applicable to NCR-MT</w:t>
      </w:r>
      <w:r w:rsidRPr="001C5FD1">
        <w:rPr>
          <w:rFonts w:eastAsia="等线"/>
          <w:b/>
          <w:sz w:val="22"/>
          <w:lang w:eastAsia="zh-CN"/>
        </w:rPr>
        <w:t>.</w:t>
      </w:r>
    </w:p>
    <w:p w14:paraId="1D1259B1" w14:textId="77777777" w:rsidR="00701E9F" w:rsidRPr="00701E9F" w:rsidRDefault="00701E9F" w:rsidP="00701E9F">
      <w:pPr>
        <w:textAlignment w:val="auto"/>
        <w:rPr>
          <w:rFonts w:eastAsia="等线"/>
          <w:b/>
          <w:sz w:val="22"/>
          <w:lang w:eastAsia="zh-CN"/>
        </w:rPr>
      </w:pPr>
      <w:r w:rsidRPr="00701E9F">
        <w:rPr>
          <w:rFonts w:eastAsia="等线"/>
          <w:b/>
          <w:sz w:val="22"/>
          <w:lang w:eastAsia="zh-CN"/>
        </w:rPr>
        <w:t>Proposal 3</w:t>
      </w:r>
      <w:r>
        <w:rPr>
          <w:rFonts w:eastAsia="等线"/>
          <w:b/>
          <w:sz w:val="22"/>
          <w:lang w:eastAsia="zh-CN"/>
        </w:rPr>
        <w:t>a</w:t>
      </w:r>
      <w:r w:rsidRPr="00701E9F">
        <w:rPr>
          <w:rFonts w:eastAsia="等线"/>
          <w:b/>
          <w:sz w:val="22"/>
          <w:lang w:eastAsia="zh-CN"/>
        </w:rPr>
        <w:t xml:space="preserve">: </w:t>
      </w:r>
      <w:r>
        <w:rPr>
          <w:rFonts w:eastAsia="等线"/>
          <w:b/>
          <w:sz w:val="22"/>
          <w:lang w:eastAsia="zh-CN"/>
        </w:rPr>
        <w:t xml:space="preserve">Clarify in TS 38.306 that </w:t>
      </w:r>
      <w:r w:rsidRPr="00701E9F">
        <w:rPr>
          <w:rFonts w:eastAsia="等线"/>
          <w:b/>
          <w:sz w:val="22"/>
          <w:lang w:eastAsia="zh-CN"/>
        </w:rPr>
        <w:t>FG1-4 and FG1-8</w:t>
      </w:r>
      <w:r>
        <w:rPr>
          <w:rFonts w:eastAsia="等线"/>
          <w:b/>
          <w:sz w:val="22"/>
          <w:lang w:eastAsia="zh-CN"/>
        </w:rPr>
        <w:t xml:space="preserve"> are optional for NCR-MT</w:t>
      </w:r>
      <w:r w:rsidRPr="00701E9F">
        <w:rPr>
          <w:rFonts w:eastAsia="等线"/>
          <w:b/>
          <w:sz w:val="22"/>
          <w:lang w:eastAsia="zh-CN"/>
        </w:rPr>
        <w:t>.</w:t>
      </w:r>
    </w:p>
    <w:p w14:paraId="6407AA80" w14:textId="77777777" w:rsidR="00701E9F" w:rsidRDefault="00701E9F" w:rsidP="00701E9F">
      <w:pPr>
        <w:textAlignment w:val="auto"/>
        <w:rPr>
          <w:rFonts w:eastAsia="等线"/>
          <w:b/>
          <w:sz w:val="22"/>
          <w:lang w:eastAsia="zh-CN"/>
        </w:rPr>
      </w:pPr>
      <w:r w:rsidRPr="00CE4B00">
        <w:rPr>
          <w:rFonts w:eastAsia="等线"/>
          <w:b/>
          <w:sz w:val="22"/>
          <w:lang w:eastAsia="zh-CN"/>
        </w:rPr>
        <w:t xml:space="preserve">Proposal </w:t>
      </w:r>
      <w:r>
        <w:rPr>
          <w:rFonts w:eastAsia="等线"/>
          <w:b/>
          <w:sz w:val="22"/>
          <w:lang w:eastAsia="zh-CN"/>
        </w:rPr>
        <w:t>3b</w:t>
      </w:r>
      <w:r w:rsidRPr="00CE4B00">
        <w:rPr>
          <w:rFonts w:eastAsia="等线"/>
          <w:b/>
          <w:sz w:val="22"/>
          <w:lang w:eastAsia="zh-CN"/>
        </w:rPr>
        <w:t xml:space="preserve">: </w:t>
      </w:r>
      <w:r>
        <w:rPr>
          <w:rFonts w:eastAsia="等线"/>
          <w:b/>
          <w:sz w:val="22"/>
          <w:lang w:eastAsia="zh-CN"/>
        </w:rPr>
        <w:t xml:space="preserve">Introduce </w:t>
      </w:r>
      <w:r w:rsidRPr="001C0F58">
        <w:rPr>
          <w:rFonts w:eastAsia="等线"/>
          <w:b/>
          <w:sz w:val="22"/>
          <w:lang w:eastAsia="zh-CN"/>
        </w:rPr>
        <w:t xml:space="preserve">new optional capability </w:t>
      </w:r>
      <w:r>
        <w:rPr>
          <w:rFonts w:eastAsia="等线"/>
          <w:b/>
          <w:sz w:val="22"/>
          <w:lang w:eastAsia="zh-CN"/>
        </w:rPr>
        <w:t>field</w:t>
      </w:r>
      <w:r w:rsidRPr="001C0F58">
        <w:rPr>
          <w:rFonts w:eastAsia="等线"/>
          <w:b/>
          <w:sz w:val="22"/>
          <w:lang w:eastAsia="zh-CN"/>
        </w:rPr>
        <w:t xml:space="preserve">s </w:t>
      </w:r>
      <w:r>
        <w:rPr>
          <w:rFonts w:eastAsia="等线"/>
          <w:b/>
          <w:sz w:val="22"/>
          <w:lang w:eastAsia="zh-CN"/>
        </w:rPr>
        <w:t xml:space="preserve">corresponding to </w:t>
      </w:r>
      <w:r w:rsidRPr="001C0F58">
        <w:rPr>
          <w:rFonts w:eastAsia="等线"/>
          <w:b/>
          <w:sz w:val="22"/>
          <w:lang w:eastAsia="zh-CN"/>
        </w:rPr>
        <w:t>FG1-2</w:t>
      </w:r>
      <w:r>
        <w:rPr>
          <w:rFonts w:eastAsia="等线"/>
          <w:b/>
          <w:sz w:val="22"/>
          <w:lang w:eastAsia="zh-CN"/>
        </w:rPr>
        <w:t xml:space="preserve"> </w:t>
      </w:r>
      <w:r w:rsidRPr="00D43F57">
        <w:rPr>
          <w:rFonts w:eastAsia="等线"/>
          <w:b/>
          <w:sz w:val="22"/>
          <w:lang w:eastAsia="zh-CN"/>
        </w:rPr>
        <w:t>and FG2-1</w:t>
      </w:r>
      <w:r>
        <w:rPr>
          <w:rFonts w:eastAsia="等线"/>
          <w:b/>
          <w:sz w:val="22"/>
          <w:lang w:eastAsia="zh-CN"/>
        </w:rPr>
        <w:t xml:space="preserve"> </w:t>
      </w:r>
      <w:r w:rsidRPr="001C0F58">
        <w:rPr>
          <w:rFonts w:eastAsia="等线"/>
          <w:b/>
          <w:sz w:val="22"/>
          <w:lang w:eastAsia="zh-CN"/>
        </w:rPr>
        <w:t>in TS</w:t>
      </w:r>
      <w:r>
        <w:rPr>
          <w:rFonts w:eastAsia="等线"/>
          <w:b/>
          <w:sz w:val="22"/>
          <w:lang w:eastAsia="zh-CN"/>
        </w:rPr>
        <w:t xml:space="preserve"> </w:t>
      </w:r>
      <w:r w:rsidRPr="001C0F58">
        <w:rPr>
          <w:rFonts w:eastAsia="等线"/>
          <w:b/>
          <w:sz w:val="22"/>
          <w:lang w:eastAsia="zh-CN"/>
        </w:rPr>
        <w:t>38</w:t>
      </w:r>
      <w:r>
        <w:rPr>
          <w:rFonts w:eastAsia="等线"/>
          <w:b/>
          <w:sz w:val="22"/>
          <w:lang w:eastAsia="zh-CN"/>
        </w:rPr>
        <w:t>.</w:t>
      </w:r>
      <w:r w:rsidRPr="001C0F58">
        <w:rPr>
          <w:rFonts w:eastAsia="等线"/>
          <w:b/>
          <w:sz w:val="22"/>
          <w:lang w:eastAsia="zh-CN"/>
        </w:rPr>
        <w:t>331 and TS</w:t>
      </w:r>
      <w:r>
        <w:rPr>
          <w:rFonts w:eastAsia="等线"/>
          <w:b/>
          <w:sz w:val="22"/>
          <w:lang w:eastAsia="zh-CN"/>
        </w:rPr>
        <w:t xml:space="preserve"> </w:t>
      </w:r>
      <w:r w:rsidRPr="001C0F58">
        <w:rPr>
          <w:rFonts w:eastAsia="等线"/>
          <w:b/>
          <w:sz w:val="22"/>
          <w:lang w:eastAsia="zh-CN"/>
        </w:rPr>
        <w:t>38</w:t>
      </w:r>
      <w:r>
        <w:rPr>
          <w:rFonts w:eastAsia="等线"/>
          <w:b/>
          <w:sz w:val="22"/>
          <w:lang w:eastAsia="zh-CN"/>
        </w:rPr>
        <w:t>.</w:t>
      </w:r>
      <w:r w:rsidRPr="001C0F58">
        <w:rPr>
          <w:rFonts w:eastAsia="等线"/>
          <w:b/>
          <w:sz w:val="22"/>
          <w:lang w:eastAsia="zh-CN"/>
        </w:rPr>
        <w:t>306</w:t>
      </w:r>
      <w:r>
        <w:rPr>
          <w:rFonts w:eastAsia="等线"/>
          <w:b/>
          <w:sz w:val="22"/>
          <w:lang w:eastAsia="zh-CN"/>
        </w:rPr>
        <w:t xml:space="preserve"> for NCR-MT</w:t>
      </w:r>
      <w:r w:rsidRPr="00CE4B00">
        <w:rPr>
          <w:rFonts w:eastAsia="等线"/>
          <w:b/>
          <w:sz w:val="22"/>
          <w:lang w:eastAsia="zh-CN"/>
        </w:rPr>
        <w:t>.</w:t>
      </w:r>
    </w:p>
    <w:p w14:paraId="6F071076" w14:textId="0D78ACA9" w:rsidR="00C54D4B" w:rsidRDefault="00C54D4B" w:rsidP="00C54D4B">
      <w:pPr>
        <w:textAlignment w:val="auto"/>
        <w:rPr>
          <w:rFonts w:eastAsia="等线"/>
          <w:b/>
          <w:sz w:val="22"/>
          <w:lang w:eastAsia="zh-CN"/>
        </w:rPr>
      </w:pPr>
      <w:r>
        <w:rPr>
          <w:rFonts w:eastAsia="等线"/>
          <w:b/>
          <w:sz w:val="22"/>
          <w:lang w:eastAsia="zh-CN"/>
        </w:rPr>
        <w:t>Proposal 4: Send an LS to RAN4 to confirm the understanding that the multiple NS/</w:t>
      </w:r>
      <w:proofErr w:type="spellStart"/>
      <w:r>
        <w:rPr>
          <w:rFonts w:eastAsia="等线"/>
          <w:b/>
          <w:sz w:val="22"/>
          <w:lang w:eastAsia="zh-CN"/>
        </w:rPr>
        <w:t>Pmax</w:t>
      </w:r>
      <w:proofErr w:type="spellEnd"/>
      <w:r>
        <w:rPr>
          <w:rFonts w:eastAsia="等线"/>
          <w:b/>
          <w:sz w:val="22"/>
          <w:lang w:eastAsia="zh-CN"/>
        </w:rPr>
        <w:t xml:space="preserve"> (FG2-12) is not applicable to NCR-MT.</w:t>
      </w:r>
    </w:p>
    <w:p w14:paraId="69847F92" w14:textId="19FEAF3B" w:rsidR="0070465F" w:rsidRPr="00701E9F" w:rsidRDefault="0070465F" w:rsidP="00C54D4B">
      <w:pPr>
        <w:textAlignment w:val="auto"/>
        <w:rPr>
          <w:rFonts w:eastAsia="等线"/>
          <w:b/>
          <w:sz w:val="22"/>
          <w:lang w:eastAsia="zh-CN"/>
        </w:rPr>
      </w:pPr>
      <w:r w:rsidRPr="00CE4B00">
        <w:rPr>
          <w:rFonts w:eastAsia="等线"/>
          <w:b/>
          <w:sz w:val="22"/>
          <w:lang w:eastAsia="zh-CN"/>
        </w:rPr>
        <w:t>Proposal 5:</w:t>
      </w:r>
      <w:r>
        <w:rPr>
          <w:rFonts w:eastAsia="等线"/>
          <w:b/>
          <w:sz w:val="22"/>
          <w:lang w:eastAsia="zh-CN"/>
        </w:rPr>
        <w:t xml:space="preserve"> </w:t>
      </w:r>
      <w:r w:rsidR="00250074">
        <w:rPr>
          <w:rFonts w:eastAsia="等线"/>
          <w:b/>
          <w:sz w:val="22"/>
          <w:lang w:eastAsia="zh-CN"/>
        </w:rPr>
        <w:t>Agree</w:t>
      </w:r>
      <w:r>
        <w:rPr>
          <w:rFonts w:eastAsia="等线"/>
          <w:b/>
          <w:sz w:val="22"/>
          <w:lang w:eastAsia="zh-CN"/>
        </w:rPr>
        <w:t xml:space="preserve"> the 38331 CR in R2-2406278 and the 38306 CR in R2-2406279.</w:t>
      </w:r>
    </w:p>
    <w:p w14:paraId="2A6CF5AE" w14:textId="5FFFA5B0" w:rsidR="00A25945" w:rsidRPr="004C60F2" w:rsidRDefault="00A25945" w:rsidP="00A25945">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7205CB4" w14:textId="3475421A" w:rsidR="001900E6" w:rsidRPr="00B610E4" w:rsidRDefault="001900E6" w:rsidP="001900E6">
      <w:pPr>
        <w:numPr>
          <w:ilvl w:val="0"/>
          <w:numId w:val="26"/>
        </w:numPr>
        <w:spacing w:before="100" w:beforeAutospacing="1" w:after="100" w:afterAutospacing="1"/>
        <w:jc w:val="both"/>
        <w:textAlignment w:val="auto"/>
        <w:rPr>
          <w:sz w:val="22"/>
          <w:szCs w:val="22"/>
          <w:lang w:val="x-none"/>
        </w:rPr>
      </w:pPr>
      <w:bookmarkStart w:id="6" w:name="_Ref172209482"/>
      <w:r w:rsidRPr="001900E6">
        <w:rPr>
          <w:sz w:val="22"/>
          <w:szCs w:val="22"/>
          <w:lang w:val="x-none"/>
        </w:rPr>
        <w:t>R2-2402132</w:t>
      </w:r>
      <w:r>
        <w:rPr>
          <w:sz w:val="22"/>
          <w:szCs w:val="22"/>
          <w:lang w:val="x-none"/>
        </w:rPr>
        <w:t xml:space="preserve">, </w:t>
      </w:r>
      <w:r w:rsidRPr="001900E6">
        <w:rPr>
          <w:sz w:val="22"/>
          <w:szCs w:val="22"/>
          <w:lang w:val="x-none"/>
        </w:rPr>
        <w:t>LS on RAN4 UE feature list for Rel-18 (version 3)</w:t>
      </w:r>
      <w:r>
        <w:rPr>
          <w:sz w:val="22"/>
          <w:szCs w:val="22"/>
          <w:lang w:val="x-none"/>
        </w:rPr>
        <w:t>, CMCC, RAN2#125bis</w:t>
      </w:r>
      <w:bookmarkEnd w:id="6"/>
    </w:p>
    <w:p w14:paraId="5F2D79FC" w14:textId="1940E2A6" w:rsidR="000A591F" w:rsidRDefault="000A591F" w:rsidP="000A591F">
      <w:pPr>
        <w:numPr>
          <w:ilvl w:val="0"/>
          <w:numId w:val="26"/>
        </w:numPr>
        <w:spacing w:before="100" w:beforeAutospacing="1" w:after="100" w:afterAutospacing="1"/>
        <w:jc w:val="both"/>
        <w:textAlignment w:val="auto"/>
        <w:rPr>
          <w:sz w:val="22"/>
          <w:szCs w:val="22"/>
          <w:lang w:val="x-none"/>
        </w:rPr>
      </w:pPr>
      <w:r w:rsidRPr="00A25945">
        <w:rPr>
          <w:sz w:val="22"/>
          <w:szCs w:val="22"/>
          <w:lang w:val="x-none"/>
        </w:rPr>
        <w:t>R4-2402517</w:t>
      </w:r>
      <w:r w:rsidRPr="00B610E4">
        <w:rPr>
          <w:sz w:val="22"/>
          <w:szCs w:val="22"/>
          <w:lang w:val="x-none"/>
        </w:rPr>
        <w:t xml:space="preserve">, </w:t>
      </w:r>
      <w:r w:rsidRPr="00A25945">
        <w:rPr>
          <w:sz w:val="22"/>
          <w:szCs w:val="22"/>
          <w:lang w:val="x-none"/>
        </w:rPr>
        <w:t>RAN4 feature list for NCR-MT</w:t>
      </w:r>
      <w:r w:rsidRPr="00B610E4">
        <w:rPr>
          <w:sz w:val="22"/>
          <w:szCs w:val="22"/>
          <w:lang w:val="x-none"/>
        </w:rPr>
        <w:t xml:space="preserve">, </w:t>
      </w:r>
      <w:r>
        <w:rPr>
          <w:sz w:val="22"/>
          <w:szCs w:val="22"/>
          <w:lang w:val="x-none"/>
        </w:rPr>
        <w:t>ZTE Corporation</w:t>
      </w:r>
      <w:r w:rsidRPr="00B610E4">
        <w:rPr>
          <w:sz w:val="22"/>
          <w:szCs w:val="22"/>
          <w:lang w:val="x-none"/>
        </w:rPr>
        <w:t>, RAN</w:t>
      </w:r>
      <w:r>
        <w:rPr>
          <w:sz w:val="22"/>
          <w:szCs w:val="22"/>
          <w:lang w:val="x-none"/>
        </w:rPr>
        <w:t>4#</w:t>
      </w:r>
      <w:r w:rsidRPr="00B610E4">
        <w:rPr>
          <w:sz w:val="22"/>
          <w:szCs w:val="22"/>
          <w:lang w:val="x-none"/>
        </w:rPr>
        <w:t>1</w:t>
      </w:r>
      <w:r>
        <w:rPr>
          <w:sz w:val="22"/>
          <w:szCs w:val="22"/>
          <w:lang w:val="x-none"/>
        </w:rPr>
        <w:t>10</w:t>
      </w:r>
      <w:r w:rsidRPr="00B610E4">
        <w:rPr>
          <w:sz w:val="22"/>
          <w:szCs w:val="22"/>
          <w:lang w:val="x-none"/>
        </w:rPr>
        <w:t>.</w:t>
      </w:r>
    </w:p>
    <w:p w14:paraId="6943A769" w14:textId="3F28A87C" w:rsidR="00C7730D" w:rsidRDefault="00504D5B" w:rsidP="000A591F">
      <w:pPr>
        <w:numPr>
          <w:ilvl w:val="0"/>
          <w:numId w:val="26"/>
        </w:numPr>
        <w:spacing w:before="100" w:beforeAutospacing="1" w:after="100" w:afterAutospacing="1"/>
        <w:jc w:val="both"/>
        <w:textAlignment w:val="auto"/>
        <w:rPr>
          <w:sz w:val="22"/>
          <w:szCs w:val="22"/>
          <w:lang w:val="x-none"/>
        </w:rPr>
      </w:pPr>
      <w:hyperlink r:id="rId9" w:history="1">
        <w:r w:rsidR="00194748" w:rsidRPr="00194748">
          <w:rPr>
            <w:sz w:val="22"/>
            <w:szCs w:val="22"/>
            <w:lang w:val="x-none"/>
          </w:rPr>
          <w:t>R2-2403445</w:t>
        </w:r>
      </w:hyperlink>
      <w:r w:rsidR="00194748">
        <w:rPr>
          <w:sz w:val="22"/>
          <w:szCs w:val="22"/>
          <w:lang w:val="x-none"/>
        </w:rPr>
        <w:t xml:space="preserve">, </w:t>
      </w:r>
      <w:r w:rsidR="00194748" w:rsidRPr="00194748">
        <w:rPr>
          <w:sz w:val="22"/>
          <w:szCs w:val="22"/>
          <w:lang w:val="x-none"/>
        </w:rPr>
        <w:t>Correction to P-Max and NS value usage for NCR-MT</w:t>
      </w:r>
      <w:r w:rsidR="00194748" w:rsidRPr="00194748">
        <w:rPr>
          <w:sz w:val="22"/>
          <w:szCs w:val="22"/>
          <w:lang w:val="x-none"/>
        </w:rPr>
        <w:tab/>
        <w:t>Nokia</w:t>
      </w:r>
    </w:p>
    <w:p w14:paraId="3096F620" w14:textId="77777777" w:rsidR="00A25945" w:rsidRPr="00A25945" w:rsidRDefault="00A25945" w:rsidP="00A25945">
      <w:pPr>
        <w:textAlignment w:val="auto"/>
        <w:rPr>
          <w:rFonts w:eastAsia="Malgun Gothic"/>
          <w:b/>
          <w:sz w:val="22"/>
          <w:szCs w:val="22"/>
          <w:lang w:val="x-none" w:eastAsia="de-DE"/>
        </w:rPr>
      </w:pPr>
    </w:p>
    <w:sectPr w:rsidR="00A25945" w:rsidRPr="00A259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B3D5B" w14:textId="77777777" w:rsidR="00504D5B" w:rsidRPr="00982682" w:rsidRDefault="00504D5B">
      <w:r w:rsidRPr="00982682">
        <w:separator/>
      </w:r>
    </w:p>
  </w:endnote>
  <w:endnote w:type="continuationSeparator" w:id="0">
    <w:p w14:paraId="54B4277D" w14:textId="77777777" w:rsidR="00504D5B" w:rsidRPr="00982682" w:rsidRDefault="00504D5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B447D" w14:textId="77777777" w:rsidR="00504D5B" w:rsidRPr="00982682" w:rsidRDefault="00504D5B">
      <w:r w:rsidRPr="00982682">
        <w:separator/>
      </w:r>
    </w:p>
  </w:footnote>
  <w:footnote w:type="continuationSeparator" w:id="0">
    <w:p w14:paraId="3DC40D13" w14:textId="77777777" w:rsidR="00504D5B" w:rsidRPr="00982682" w:rsidRDefault="00504D5B">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BC588E"/>
    <w:multiLevelType w:val="hybridMultilevel"/>
    <w:tmpl w:val="4000B76A"/>
    <w:lvl w:ilvl="0" w:tplc="BE428E2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1F5FB9"/>
    <w:multiLevelType w:val="hybridMultilevel"/>
    <w:tmpl w:val="2E0A8F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86274"/>
    <w:multiLevelType w:val="hybridMultilevel"/>
    <w:tmpl w:val="149E3FD0"/>
    <w:lvl w:ilvl="0" w:tplc="642209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6B81533"/>
    <w:multiLevelType w:val="multilevel"/>
    <w:tmpl w:val="104A4F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2DC6456"/>
    <w:multiLevelType w:val="hybridMultilevel"/>
    <w:tmpl w:val="0FB01518"/>
    <w:lvl w:ilvl="0" w:tplc="6008A87C">
      <w:start w:val="2"/>
      <w:numFmt w:val="bullet"/>
      <w:lvlText w:val=""/>
      <w:lvlJc w:val="left"/>
      <w:pPr>
        <w:ind w:left="360" w:hanging="360"/>
      </w:pPr>
      <w:rPr>
        <w:rFonts w:ascii="Wingdings" w:eastAsia="Times New Roman" w:hAnsi="Wingdings"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791805"/>
    <w:multiLevelType w:val="hybridMultilevel"/>
    <w:tmpl w:val="F03E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50953"/>
    <w:multiLevelType w:val="hybridMultilevel"/>
    <w:tmpl w:val="C8AE37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5" w15:restartNumberingAfterBreak="0">
    <w:nsid w:val="6A5A3F5B"/>
    <w:multiLevelType w:val="hybridMultilevel"/>
    <w:tmpl w:val="2E0A8F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99E6A28"/>
    <w:multiLevelType w:val="hybridMultilevel"/>
    <w:tmpl w:val="F282FBC6"/>
    <w:lvl w:ilvl="0" w:tplc="B71AD8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27"/>
  </w:num>
  <w:num w:numId="3">
    <w:abstractNumId w:val="4"/>
  </w:num>
  <w:num w:numId="4">
    <w:abstractNumId w:val="18"/>
  </w:num>
  <w:num w:numId="5">
    <w:abstractNumId w:val="3"/>
  </w:num>
  <w:num w:numId="6">
    <w:abstractNumId w:val="14"/>
  </w:num>
  <w:num w:numId="7">
    <w:abstractNumId w:val="2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0"/>
  </w:num>
  <w:num w:numId="13">
    <w:abstractNumId w:val="19"/>
  </w:num>
  <w:num w:numId="14">
    <w:abstractNumId w:val="12"/>
  </w:num>
  <w:num w:numId="15">
    <w:abstractNumId w:val="5"/>
  </w:num>
  <w:num w:numId="16">
    <w:abstractNumId w:val="5"/>
  </w:num>
  <w:num w:numId="17">
    <w:abstractNumId w:val="5"/>
  </w:num>
  <w:num w:numId="18">
    <w:abstractNumId w:val="24"/>
  </w:num>
  <w:num w:numId="19">
    <w:abstractNumId w:val="23"/>
  </w:num>
  <w:num w:numId="20">
    <w:abstractNumId w:val="28"/>
  </w:num>
  <w:num w:numId="21">
    <w:abstractNumId w:val="29"/>
  </w:num>
  <w:num w:numId="22">
    <w:abstractNumId w:val="7"/>
  </w:num>
  <w:num w:numId="23">
    <w:abstractNumId w:val="26"/>
  </w:num>
  <w:num w:numId="24">
    <w:abstractNumId w:val="21"/>
  </w:num>
  <w:num w:numId="25">
    <w:abstractNumId w:val="15"/>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16"/>
  </w:num>
  <w:num w:numId="30">
    <w:abstractNumId w:val="17"/>
  </w:num>
  <w:num w:numId="31">
    <w:abstractNumId w:val="2"/>
  </w:num>
  <w:num w:numId="32">
    <w:abstractNumId w:val="6"/>
  </w:num>
  <w:num w:numId="33">
    <w:abstractNumId w:val="25"/>
  </w:num>
  <w:num w:numId="34">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520"/>
    <w:rsid w:val="0000211B"/>
    <w:rsid w:val="00002890"/>
    <w:rsid w:val="00003244"/>
    <w:rsid w:val="00003738"/>
    <w:rsid w:val="000040BE"/>
    <w:rsid w:val="00004317"/>
    <w:rsid w:val="00006CF9"/>
    <w:rsid w:val="0000740C"/>
    <w:rsid w:val="00011531"/>
    <w:rsid w:val="000117E3"/>
    <w:rsid w:val="000123A6"/>
    <w:rsid w:val="00012A09"/>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A16"/>
    <w:rsid w:val="000563F4"/>
    <w:rsid w:val="000564C6"/>
    <w:rsid w:val="000569A8"/>
    <w:rsid w:val="000571A1"/>
    <w:rsid w:val="000618AF"/>
    <w:rsid w:val="00061A2A"/>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39"/>
    <w:rsid w:val="00072EE8"/>
    <w:rsid w:val="00073C3A"/>
    <w:rsid w:val="00074A0B"/>
    <w:rsid w:val="00074BEB"/>
    <w:rsid w:val="00075D4D"/>
    <w:rsid w:val="0007605B"/>
    <w:rsid w:val="0007610C"/>
    <w:rsid w:val="0007677A"/>
    <w:rsid w:val="0007678B"/>
    <w:rsid w:val="00076CA5"/>
    <w:rsid w:val="0007787C"/>
    <w:rsid w:val="00080512"/>
    <w:rsid w:val="00081B23"/>
    <w:rsid w:val="00082429"/>
    <w:rsid w:val="00082AE8"/>
    <w:rsid w:val="00082EA6"/>
    <w:rsid w:val="00082EE5"/>
    <w:rsid w:val="00083D3F"/>
    <w:rsid w:val="000850DB"/>
    <w:rsid w:val="0008527C"/>
    <w:rsid w:val="00086838"/>
    <w:rsid w:val="00087542"/>
    <w:rsid w:val="00087B32"/>
    <w:rsid w:val="00090A3B"/>
    <w:rsid w:val="000913CB"/>
    <w:rsid w:val="00092299"/>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591F"/>
    <w:rsid w:val="000A630E"/>
    <w:rsid w:val="000A71D2"/>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37FC"/>
    <w:rsid w:val="000D41CC"/>
    <w:rsid w:val="000D434E"/>
    <w:rsid w:val="000D45B0"/>
    <w:rsid w:val="000D46EC"/>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5BEA"/>
    <w:rsid w:val="000E79B8"/>
    <w:rsid w:val="000F0768"/>
    <w:rsid w:val="000F0A64"/>
    <w:rsid w:val="000F1699"/>
    <w:rsid w:val="000F18EB"/>
    <w:rsid w:val="000F1FD3"/>
    <w:rsid w:val="000F213D"/>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0B42"/>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E4B"/>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0E6"/>
    <w:rsid w:val="001906B3"/>
    <w:rsid w:val="0019097A"/>
    <w:rsid w:val="0019101B"/>
    <w:rsid w:val="001911A2"/>
    <w:rsid w:val="001912B1"/>
    <w:rsid w:val="001915C8"/>
    <w:rsid w:val="00193A82"/>
    <w:rsid w:val="001943E4"/>
    <w:rsid w:val="00194748"/>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18A"/>
    <w:rsid w:val="001B3506"/>
    <w:rsid w:val="001B3A97"/>
    <w:rsid w:val="001B4283"/>
    <w:rsid w:val="001B4570"/>
    <w:rsid w:val="001B540F"/>
    <w:rsid w:val="001B569E"/>
    <w:rsid w:val="001B624E"/>
    <w:rsid w:val="001B6333"/>
    <w:rsid w:val="001C07CA"/>
    <w:rsid w:val="001C0926"/>
    <w:rsid w:val="001C0F58"/>
    <w:rsid w:val="001C14C3"/>
    <w:rsid w:val="001C17A5"/>
    <w:rsid w:val="001C2678"/>
    <w:rsid w:val="001C271D"/>
    <w:rsid w:val="001C27BF"/>
    <w:rsid w:val="001C27EE"/>
    <w:rsid w:val="001C4616"/>
    <w:rsid w:val="001C4ECD"/>
    <w:rsid w:val="001C551C"/>
    <w:rsid w:val="001C555C"/>
    <w:rsid w:val="001C5FD1"/>
    <w:rsid w:val="001C652D"/>
    <w:rsid w:val="001C6CE9"/>
    <w:rsid w:val="001D02C2"/>
    <w:rsid w:val="001D082B"/>
    <w:rsid w:val="001D1554"/>
    <w:rsid w:val="001D187E"/>
    <w:rsid w:val="001D1C73"/>
    <w:rsid w:val="001D1FC1"/>
    <w:rsid w:val="001D2130"/>
    <w:rsid w:val="001D35FC"/>
    <w:rsid w:val="001D38FD"/>
    <w:rsid w:val="001D3DF7"/>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D39"/>
    <w:rsid w:val="001E3779"/>
    <w:rsid w:val="001E6631"/>
    <w:rsid w:val="001F1042"/>
    <w:rsid w:val="001F159F"/>
    <w:rsid w:val="001F168B"/>
    <w:rsid w:val="001F25B2"/>
    <w:rsid w:val="001F3B9C"/>
    <w:rsid w:val="001F3D41"/>
    <w:rsid w:val="001F4504"/>
    <w:rsid w:val="001F569A"/>
    <w:rsid w:val="001F5CCE"/>
    <w:rsid w:val="001F61AD"/>
    <w:rsid w:val="001F6EBF"/>
    <w:rsid w:val="002007FC"/>
    <w:rsid w:val="00200876"/>
    <w:rsid w:val="00200D3C"/>
    <w:rsid w:val="002021E0"/>
    <w:rsid w:val="00205615"/>
    <w:rsid w:val="00205807"/>
    <w:rsid w:val="00205F37"/>
    <w:rsid w:val="00206D75"/>
    <w:rsid w:val="00206E13"/>
    <w:rsid w:val="0020716A"/>
    <w:rsid w:val="00210B26"/>
    <w:rsid w:val="002115C7"/>
    <w:rsid w:val="00212194"/>
    <w:rsid w:val="0021226A"/>
    <w:rsid w:val="002127B8"/>
    <w:rsid w:val="0021552C"/>
    <w:rsid w:val="00215CED"/>
    <w:rsid w:val="0021617D"/>
    <w:rsid w:val="00216768"/>
    <w:rsid w:val="00216EA1"/>
    <w:rsid w:val="00216F88"/>
    <w:rsid w:val="0021729E"/>
    <w:rsid w:val="00217488"/>
    <w:rsid w:val="002175AB"/>
    <w:rsid w:val="00217E90"/>
    <w:rsid w:val="00220B56"/>
    <w:rsid w:val="00222B04"/>
    <w:rsid w:val="002231B4"/>
    <w:rsid w:val="00224556"/>
    <w:rsid w:val="002246AE"/>
    <w:rsid w:val="00224B34"/>
    <w:rsid w:val="00224DF4"/>
    <w:rsid w:val="002250B2"/>
    <w:rsid w:val="002254B1"/>
    <w:rsid w:val="00226E07"/>
    <w:rsid w:val="00227187"/>
    <w:rsid w:val="0022777B"/>
    <w:rsid w:val="002302BD"/>
    <w:rsid w:val="002305F0"/>
    <w:rsid w:val="00231725"/>
    <w:rsid w:val="00232A84"/>
    <w:rsid w:val="00232B1D"/>
    <w:rsid w:val="00232D4A"/>
    <w:rsid w:val="0023371C"/>
    <w:rsid w:val="002347A2"/>
    <w:rsid w:val="00234847"/>
    <w:rsid w:val="00235EC5"/>
    <w:rsid w:val="00236329"/>
    <w:rsid w:val="00236490"/>
    <w:rsid w:val="00236B1D"/>
    <w:rsid w:val="00236B59"/>
    <w:rsid w:val="00237759"/>
    <w:rsid w:val="002378EC"/>
    <w:rsid w:val="00240844"/>
    <w:rsid w:val="002414D2"/>
    <w:rsid w:val="00241FEA"/>
    <w:rsid w:val="00242F2F"/>
    <w:rsid w:val="00243C89"/>
    <w:rsid w:val="00243DA0"/>
    <w:rsid w:val="0024490C"/>
    <w:rsid w:val="00244BA5"/>
    <w:rsid w:val="00245E90"/>
    <w:rsid w:val="00247104"/>
    <w:rsid w:val="00250074"/>
    <w:rsid w:val="00251897"/>
    <w:rsid w:val="00251D18"/>
    <w:rsid w:val="00251F32"/>
    <w:rsid w:val="00253367"/>
    <w:rsid w:val="002548E5"/>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7D9"/>
    <w:rsid w:val="00276B1D"/>
    <w:rsid w:val="00276C5B"/>
    <w:rsid w:val="00276CA6"/>
    <w:rsid w:val="00277C0D"/>
    <w:rsid w:val="002810B3"/>
    <w:rsid w:val="002826BE"/>
    <w:rsid w:val="0028285A"/>
    <w:rsid w:val="0028320F"/>
    <w:rsid w:val="002855B8"/>
    <w:rsid w:val="002865EF"/>
    <w:rsid w:val="002874E6"/>
    <w:rsid w:val="002900B5"/>
    <w:rsid w:val="002902C5"/>
    <w:rsid w:val="00290A14"/>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E50"/>
    <w:rsid w:val="003060D2"/>
    <w:rsid w:val="00307A28"/>
    <w:rsid w:val="00311304"/>
    <w:rsid w:val="00312061"/>
    <w:rsid w:val="00312927"/>
    <w:rsid w:val="00313152"/>
    <w:rsid w:val="003133DA"/>
    <w:rsid w:val="003135EF"/>
    <w:rsid w:val="003137DE"/>
    <w:rsid w:val="00314CAE"/>
    <w:rsid w:val="00314EDA"/>
    <w:rsid w:val="00315062"/>
    <w:rsid w:val="00315C3B"/>
    <w:rsid w:val="003164E3"/>
    <w:rsid w:val="003172DC"/>
    <w:rsid w:val="00317624"/>
    <w:rsid w:val="00317C13"/>
    <w:rsid w:val="00317E2A"/>
    <w:rsid w:val="00321022"/>
    <w:rsid w:val="003217A3"/>
    <w:rsid w:val="00322B4F"/>
    <w:rsid w:val="00323337"/>
    <w:rsid w:val="00323705"/>
    <w:rsid w:val="00324F76"/>
    <w:rsid w:val="003259A4"/>
    <w:rsid w:val="0032676C"/>
    <w:rsid w:val="00327029"/>
    <w:rsid w:val="00330723"/>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6D5"/>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240"/>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862"/>
    <w:rsid w:val="00397F1D"/>
    <w:rsid w:val="003A0EBA"/>
    <w:rsid w:val="003A1E36"/>
    <w:rsid w:val="003A302F"/>
    <w:rsid w:val="003A3037"/>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1B0D"/>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0E9B"/>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1F75"/>
    <w:rsid w:val="003E2C49"/>
    <w:rsid w:val="003E49A5"/>
    <w:rsid w:val="003E4D0D"/>
    <w:rsid w:val="003E5715"/>
    <w:rsid w:val="003E66E6"/>
    <w:rsid w:val="003E763D"/>
    <w:rsid w:val="003E766B"/>
    <w:rsid w:val="003E76AF"/>
    <w:rsid w:val="003E7C56"/>
    <w:rsid w:val="003F0280"/>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5CF4"/>
    <w:rsid w:val="00426852"/>
    <w:rsid w:val="004269EB"/>
    <w:rsid w:val="00426BCD"/>
    <w:rsid w:val="004271B7"/>
    <w:rsid w:val="004275E7"/>
    <w:rsid w:val="00430815"/>
    <w:rsid w:val="00430991"/>
    <w:rsid w:val="00431527"/>
    <w:rsid w:val="004322D9"/>
    <w:rsid w:val="00432BAB"/>
    <w:rsid w:val="0043325C"/>
    <w:rsid w:val="004336D6"/>
    <w:rsid w:val="004339F4"/>
    <w:rsid w:val="00433CFD"/>
    <w:rsid w:val="00434009"/>
    <w:rsid w:val="00434399"/>
    <w:rsid w:val="00434476"/>
    <w:rsid w:val="00434C45"/>
    <w:rsid w:val="00436357"/>
    <w:rsid w:val="00437BCD"/>
    <w:rsid w:val="00437FB6"/>
    <w:rsid w:val="00440A4C"/>
    <w:rsid w:val="00440CEC"/>
    <w:rsid w:val="0044177D"/>
    <w:rsid w:val="004418DA"/>
    <w:rsid w:val="0044227C"/>
    <w:rsid w:val="00442D7C"/>
    <w:rsid w:val="00443ED1"/>
    <w:rsid w:val="00444C42"/>
    <w:rsid w:val="00444DC5"/>
    <w:rsid w:val="004458C7"/>
    <w:rsid w:val="004459AC"/>
    <w:rsid w:val="0044634B"/>
    <w:rsid w:val="00446D11"/>
    <w:rsid w:val="00446F4B"/>
    <w:rsid w:val="00447583"/>
    <w:rsid w:val="00447D7D"/>
    <w:rsid w:val="004504E3"/>
    <w:rsid w:val="00450D0D"/>
    <w:rsid w:val="00451251"/>
    <w:rsid w:val="0045146B"/>
    <w:rsid w:val="004523BE"/>
    <w:rsid w:val="00454751"/>
    <w:rsid w:val="004555F4"/>
    <w:rsid w:val="00455FED"/>
    <w:rsid w:val="004563F8"/>
    <w:rsid w:val="00456453"/>
    <w:rsid w:val="00461426"/>
    <w:rsid w:val="00462123"/>
    <w:rsid w:val="00463E45"/>
    <w:rsid w:val="004650D1"/>
    <w:rsid w:val="0046530C"/>
    <w:rsid w:val="004658FD"/>
    <w:rsid w:val="004666CA"/>
    <w:rsid w:val="00466A2C"/>
    <w:rsid w:val="004677E0"/>
    <w:rsid w:val="00470878"/>
    <w:rsid w:val="004717DD"/>
    <w:rsid w:val="00471E8E"/>
    <w:rsid w:val="0047246C"/>
    <w:rsid w:val="00472DD6"/>
    <w:rsid w:val="00472F3B"/>
    <w:rsid w:val="004740B2"/>
    <w:rsid w:val="00474BEE"/>
    <w:rsid w:val="004754D7"/>
    <w:rsid w:val="004756DD"/>
    <w:rsid w:val="00475A5B"/>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039"/>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735"/>
    <w:rsid w:val="004C369C"/>
    <w:rsid w:val="004C42D6"/>
    <w:rsid w:val="004C4670"/>
    <w:rsid w:val="004C4C61"/>
    <w:rsid w:val="004C50C3"/>
    <w:rsid w:val="004C60F2"/>
    <w:rsid w:val="004C6650"/>
    <w:rsid w:val="004C67BC"/>
    <w:rsid w:val="004C69D7"/>
    <w:rsid w:val="004D19B0"/>
    <w:rsid w:val="004D2C4E"/>
    <w:rsid w:val="004D3578"/>
    <w:rsid w:val="004D3884"/>
    <w:rsid w:val="004D3FF3"/>
    <w:rsid w:val="004D463F"/>
    <w:rsid w:val="004D473E"/>
    <w:rsid w:val="004D4859"/>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4FB"/>
    <w:rsid w:val="004E5118"/>
    <w:rsid w:val="004E548E"/>
    <w:rsid w:val="004E5F09"/>
    <w:rsid w:val="004E649D"/>
    <w:rsid w:val="004E6643"/>
    <w:rsid w:val="004E6E4E"/>
    <w:rsid w:val="004E6EBA"/>
    <w:rsid w:val="004E731E"/>
    <w:rsid w:val="004E78A2"/>
    <w:rsid w:val="004F0DAF"/>
    <w:rsid w:val="004F33D4"/>
    <w:rsid w:val="004F33DF"/>
    <w:rsid w:val="004F39D1"/>
    <w:rsid w:val="004F496D"/>
    <w:rsid w:val="004F4FEE"/>
    <w:rsid w:val="004F523A"/>
    <w:rsid w:val="004F6361"/>
    <w:rsid w:val="004F6FF8"/>
    <w:rsid w:val="004F7508"/>
    <w:rsid w:val="004F7737"/>
    <w:rsid w:val="004F7844"/>
    <w:rsid w:val="0050013D"/>
    <w:rsid w:val="005005C2"/>
    <w:rsid w:val="005005E3"/>
    <w:rsid w:val="005020AF"/>
    <w:rsid w:val="00503417"/>
    <w:rsid w:val="00503656"/>
    <w:rsid w:val="00503F9F"/>
    <w:rsid w:val="0050455F"/>
    <w:rsid w:val="00504D5B"/>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CCE"/>
    <w:rsid w:val="005302DF"/>
    <w:rsid w:val="00530314"/>
    <w:rsid w:val="00530432"/>
    <w:rsid w:val="00530AE3"/>
    <w:rsid w:val="005317C0"/>
    <w:rsid w:val="00531F9E"/>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4404"/>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6E2B"/>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8C7"/>
    <w:rsid w:val="00597C49"/>
    <w:rsid w:val="005A0998"/>
    <w:rsid w:val="005A0AEB"/>
    <w:rsid w:val="005A150C"/>
    <w:rsid w:val="005A2A00"/>
    <w:rsid w:val="005A3E19"/>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450"/>
    <w:rsid w:val="005C2C66"/>
    <w:rsid w:val="005C360B"/>
    <w:rsid w:val="005C559D"/>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8D0"/>
    <w:rsid w:val="005E0C4E"/>
    <w:rsid w:val="005E124A"/>
    <w:rsid w:val="005E241E"/>
    <w:rsid w:val="005E2582"/>
    <w:rsid w:val="005E25CD"/>
    <w:rsid w:val="005E265D"/>
    <w:rsid w:val="005E2B8E"/>
    <w:rsid w:val="005E2E6D"/>
    <w:rsid w:val="005E3C85"/>
    <w:rsid w:val="005E414B"/>
    <w:rsid w:val="005E501B"/>
    <w:rsid w:val="005E521B"/>
    <w:rsid w:val="005E5EBD"/>
    <w:rsid w:val="005E626D"/>
    <w:rsid w:val="005E6CFA"/>
    <w:rsid w:val="005E6EB1"/>
    <w:rsid w:val="005E7029"/>
    <w:rsid w:val="005E7707"/>
    <w:rsid w:val="005E7887"/>
    <w:rsid w:val="005F110F"/>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9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213"/>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4F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4B6"/>
    <w:rsid w:val="006A1A58"/>
    <w:rsid w:val="006A200B"/>
    <w:rsid w:val="006A3E29"/>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A73"/>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56A8"/>
    <w:rsid w:val="006F6FF0"/>
    <w:rsid w:val="006F77F0"/>
    <w:rsid w:val="007000B8"/>
    <w:rsid w:val="0070035A"/>
    <w:rsid w:val="00701E8C"/>
    <w:rsid w:val="00701E9F"/>
    <w:rsid w:val="0070239C"/>
    <w:rsid w:val="007025DC"/>
    <w:rsid w:val="00703BD3"/>
    <w:rsid w:val="0070428F"/>
    <w:rsid w:val="0070436B"/>
    <w:rsid w:val="0070465F"/>
    <w:rsid w:val="00704E96"/>
    <w:rsid w:val="00705F5E"/>
    <w:rsid w:val="007067FD"/>
    <w:rsid w:val="00706E11"/>
    <w:rsid w:val="00706F5A"/>
    <w:rsid w:val="00710E71"/>
    <w:rsid w:val="0071179A"/>
    <w:rsid w:val="0071180D"/>
    <w:rsid w:val="007123B0"/>
    <w:rsid w:val="00712813"/>
    <w:rsid w:val="007130AB"/>
    <w:rsid w:val="00713E65"/>
    <w:rsid w:val="00714147"/>
    <w:rsid w:val="00715298"/>
    <w:rsid w:val="0071599B"/>
    <w:rsid w:val="00716B62"/>
    <w:rsid w:val="00716F79"/>
    <w:rsid w:val="00717D58"/>
    <w:rsid w:val="007205DE"/>
    <w:rsid w:val="007208C1"/>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B41"/>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D6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7BD"/>
    <w:rsid w:val="007D097F"/>
    <w:rsid w:val="007D0BE4"/>
    <w:rsid w:val="007D0D05"/>
    <w:rsid w:val="007D0DD8"/>
    <w:rsid w:val="007D1911"/>
    <w:rsid w:val="007D21F4"/>
    <w:rsid w:val="007D29DC"/>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46E0B"/>
    <w:rsid w:val="00850D5D"/>
    <w:rsid w:val="00850D8C"/>
    <w:rsid w:val="008521AF"/>
    <w:rsid w:val="00854477"/>
    <w:rsid w:val="008546F6"/>
    <w:rsid w:val="00854E13"/>
    <w:rsid w:val="00856178"/>
    <w:rsid w:val="00856426"/>
    <w:rsid w:val="00856577"/>
    <w:rsid w:val="008570A4"/>
    <w:rsid w:val="00857149"/>
    <w:rsid w:val="008574AA"/>
    <w:rsid w:val="00857E5D"/>
    <w:rsid w:val="00862833"/>
    <w:rsid w:val="00863E44"/>
    <w:rsid w:val="00864061"/>
    <w:rsid w:val="00864332"/>
    <w:rsid w:val="0086458B"/>
    <w:rsid w:val="008645FE"/>
    <w:rsid w:val="0086510D"/>
    <w:rsid w:val="0086570C"/>
    <w:rsid w:val="00865B1A"/>
    <w:rsid w:val="00865CE4"/>
    <w:rsid w:val="00865E9A"/>
    <w:rsid w:val="00867BC2"/>
    <w:rsid w:val="0087052D"/>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1E9"/>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A7842"/>
    <w:rsid w:val="008B05CB"/>
    <w:rsid w:val="008B1243"/>
    <w:rsid w:val="008B2D8F"/>
    <w:rsid w:val="008B48D7"/>
    <w:rsid w:val="008B4C73"/>
    <w:rsid w:val="008B5937"/>
    <w:rsid w:val="008B69D5"/>
    <w:rsid w:val="008B6A24"/>
    <w:rsid w:val="008B7565"/>
    <w:rsid w:val="008B75AE"/>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43F6"/>
    <w:rsid w:val="008D676D"/>
    <w:rsid w:val="008D7889"/>
    <w:rsid w:val="008D7A29"/>
    <w:rsid w:val="008E106B"/>
    <w:rsid w:val="008E1EE8"/>
    <w:rsid w:val="008E2992"/>
    <w:rsid w:val="008E2A69"/>
    <w:rsid w:val="008E3B2F"/>
    <w:rsid w:val="008E47E1"/>
    <w:rsid w:val="008E5586"/>
    <w:rsid w:val="008E6246"/>
    <w:rsid w:val="008E633B"/>
    <w:rsid w:val="008E6D07"/>
    <w:rsid w:val="008F270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561"/>
    <w:rsid w:val="009159EC"/>
    <w:rsid w:val="0091619B"/>
    <w:rsid w:val="009164E0"/>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53E"/>
    <w:rsid w:val="00943EE9"/>
    <w:rsid w:val="0094414C"/>
    <w:rsid w:val="00944CE9"/>
    <w:rsid w:val="0094571C"/>
    <w:rsid w:val="00946694"/>
    <w:rsid w:val="00947540"/>
    <w:rsid w:val="0094756A"/>
    <w:rsid w:val="0095097E"/>
    <w:rsid w:val="0095162D"/>
    <w:rsid w:val="00953345"/>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792"/>
    <w:rsid w:val="00972AB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2A41"/>
    <w:rsid w:val="00983173"/>
    <w:rsid w:val="00985108"/>
    <w:rsid w:val="00985329"/>
    <w:rsid w:val="0098539A"/>
    <w:rsid w:val="00985905"/>
    <w:rsid w:val="00987159"/>
    <w:rsid w:val="0098739F"/>
    <w:rsid w:val="00987E05"/>
    <w:rsid w:val="00990BA8"/>
    <w:rsid w:val="00991546"/>
    <w:rsid w:val="00992ACF"/>
    <w:rsid w:val="00993052"/>
    <w:rsid w:val="009935EC"/>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72"/>
    <w:rsid w:val="009B60BD"/>
    <w:rsid w:val="009B74AA"/>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628"/>
    <w:rsid w:val="009D5718"/>
    <w:rsid w:val="009D5A01"/>
    <w:rsid w:val="009D5D19"/>
    <w:rsid w:val="009D73A9"/>
    <w:rsid w:val="009E08E1"/>
    <w:rsid w:val="009E0A77"/>
    <w:rsid w:val="009E1096"/>
    <w:rsid w:val="009E1152"/>
    <w:rsid w:val="009E3003"/>
    <w:rsid w:val="009E4077"/>
    <w:rsid w:val="009E5634"/>
    <w:rsid w:val="009E5CB3"/>
    <w:rsid w:val="009E5FE0"/>
    <w:rsid w:val="009E637A"/>
    <w:rsid w:val="009E7303"/>
    <w:rsid w:val="009E75BF"/>
    <w:rsid w:val="009F03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8AD"/>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2407"/>
    <w:rsid w:val="00A13201"/>
    <w:rsid w:val="00A133C0"/>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945"/>
    <w:rsid w:val="00A26A73"/>
    <w:rsid w:val="00A2718D"/>
    <w:rsid w:val="00A27BDD"/>
    <w:rsid w:val="00A301E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0BE"/>
    <w:rsid w:val="00A46E98"/>
    <w:rsid w:val="00A4769D"/>
    <w:rsid w:val="00A507C3"/>
    <w:rsid w:val="00A509D7"/>
    <w:rsid w:val="00A52F2F"/>
    <w:rsid w:val="00A5361E"/>
    <w:rsid w:val="00A53724"/>
    <w:rsid w:val="00A539CA"/>
    <w:rsid w:val="00A54718"/>
    <w:rsid w:val="00A54BB6"/>
    <w:rsid w:val="00A54BEC"/>
    <w:rsid w:val="00A55672"/>
    <w:rsid w:val="00A55C57"/>
    <w:rsid w:val="00A55E2B"/>
    <w:rsid w:val="00A57107"/>
    <w:rsid w:val="00A579F5"/>
    <w:rsid w:val="00A61159"/>
    <w:rsid w:val="00A61A71"/>
    <w:rsid w:val="00A625E9"/>
    <w:rsid w:val="00A62C1E"/>
    <w:rsid w:val="00A62E95"/>
    <w:rsid w:val="00A633D0"/>
    <w:rsid w:val="00A64531"/>
    <w:rsid w:val="00A64895"/>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85C"/>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25"/>
    <w:rsid w:val="00AB678C"/>
    <w:rsid w:val="00AB6CFA"/>
    <w:rsid w:val="00AB78A1"/>
    <w:rsid w:val="00AC0282"/>
    <w:rsid w:val="00AC17B7"/>
    <w:rsid w:val="00AC2A25"/>
    <w:rsid w:val="00AC2CC6"/>
    <w:rsid w:val="00AC326A"/>
    <w:rsid w:val="00AC336F"/>
    <w:rsid w:val="00AC389E"/>
    <w:rsid w:val="00AC39E0"/>
    <w:rsid w:val="00AC3D3D"/>
    <w:rsid w:val="00AC415B"/>
    <w:rsid w:val="00AC445C"/>
    <w:rsid w:val="00AC4BF6"/>
    <w:rsid w:val="00AC5316"/>
    <w:rsid w:val="00AC53D5"/>
    <w:rsid w:val="00AC61E1"/>
    <w:rsid w:val="00AC7A1D"/>
    <w:rsid w:val="00AC7C14"/>
    <w:rsid w:val="00AD0175"/>
    <w:rsid w:val="00AD1157"/>
    <w:rsid w:val="00AD1C20"/>
    <w:rsid w:val="00AD1C21"/>
    <w:rsid w:val="00AD28BC"/>
    <w:rsid w:val="00AD3004"/>
    <w:rsid w:val="00AD4197"/>
    <w:rsid w:val="00AD4680"/>
    <w:rsid w:val="00AD5712"/>
    <w:rsid w:val="00AD5CB6"/>
    <w:rsid w:val="00AD6A65"/>
    <w:rsid w:val="00AD7212"/>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2FF8"/>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967"/>
    <w:rsid w:val="00B02DE8"/>
    <w:rsid w:val="00B035DF"/>
    <w:rsid w:val="00B04317"/>
    <w:rsid w:val="00B04707"/>
    <w:rsid w:val="00B049AE"/>
    <w:rsid w:val="00B05C4F"/>
    <w:rsid w:val="00B06D97"/>
    <w:rsid w:val="00B07EED"/>
    <w:rsid w:val="00B1096A"/>
    <w:rsid w:val="00B114C1"/>
    <w:rsid w:val="00B12520"/>
    <w:rsid w:val="00B12D9D"/>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5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6A8"/>
    <w:rsid w:val="00B52C31"/>
    <w:rsid w:val="00B53542"/>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CDB"/>
    <w:rsid w:val="00B77029"/>
    <w:rsid w:val="00B7766C"/>
    <w:rsid w:val="00B77E8F"/>
    <w:rsid w:val="00B80830"/>
    <w:rsid w:val="00B81C1A"/>
    <w:rsid w:val="00B81DFF"/>
    <w:rsid w:val="00B82257"/>
    <w:rsid w:val="00B82284"/>
    <w:rsid w:val="00B83B58"/>
    <w:rsid w:val="00B8429E"/>
    <w:rsid w:val="00B8456C"/>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F57"/>
    <w:rsid w:val="00BB0860"/>
    <w:rsid w:val="00BB09DB"/>
    <w:rsid w:val="00BB1080"/>
    <w:rsid w:val="00BB1163"/>
    <w:rsid w:val="00BB2B6A"/>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0A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564"/>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6E"/>
    <w:rsid w:val="00C072E5"/>
    <w:rsid w:val="00C1094E"/>
    <w:rsid w:val="00C10976"/>
    <w:rsid w:val="00C10A28"/>
    <w:rsid w:val="00C12159"/>
    <w:rsid w:val="00C141C7"/>
    <w:rsid w:val="00C14B4B"/>
    <w:rsid w:val="00C14FED"/>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4D4B"/>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569E"/>
    <w:rsid w:val="00C66F25"/>
    <w:rsid w:val="00C7004E"/>
    <w:rsid w:val="00C714EA"/>
    <w:rsid w:val="00C72833"/>
    <w:rsid w:val="00C728AB"/>
    <w:rsid w:val="00C72B36"/>
    <w:rsid w:val="00C74F64"/>
    <w:rsid w:val="00C76BBD"/>
    <w:rsid w:val="00C7730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AC1"/>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5953"/>
    <w:rsid w:val="00CE63B5"/>
    <w:rsid w:val="00CE63FE"/>
    <w:rsid w:val="00CE741C"/>
    <w:rsid w:val="00CF032B"/>
    <w:rsid w:val="00CF1577"/>
    <w:rsid w:val="00CF2408"/>
    <w:rsid w:val="00CF29EA"/>
    <w:rsid w:val="00CF3A73"/>
    <w:rsid w:val="00CF3C4B"/>
    <w:rsid w:val="00CF4ED4"/>
    <w:rsid w:val="00CF6A2D"/>
    <w:rsid w:val="00CF703C"/>
    <w:rsid w:val="00CF73E1"/>
    <w:rsid w:val="00CF7CD0"/>
    <w:rsid w:val="00CF7D91"/>
    <w:rsid w:val="00CF7E70"/>
    <w:rsid w:val="00D00370"/>
    <w:rsid w:val="00D0063E"/>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8B9"/>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9B0"/>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3F57"/>
    <w:rsid w:val="00D44A3F"/>
    <w:rsid w:val="00D45D25"/>
    <w:rsid w:val="00D460D9"/>
    <w:rsid w:val="00D462F1"/>
    <w:rsid w:val="00D467E3"/>
    <w:rsid w:val="00D47D0F"/>
    <w:rsid w:val="00D507D6"/>
    <w:rsid w:val="00D50B89"/>
    <w:rsid w:val="00D51C27"/>
    <w:rsid w:val="00D5208B"/>
    <w:rsid w:val="00D5208D"/>
    <w:rsid w:val="00D528D8"/>
    <w:rsid w:val="00D529F0"/>
    <w:rsid w:val="00D52E1C"/>
    <w:rsid w:val="00D530F7"/>
    <w:rsid w:val="00D5325E"/>
    <w:rsid w:val="00D554AE"/>
    <w:rsid w:val="00D557BC"/>
    <w:rsid w:val="00D55A22"/>
    <w:rsid w:val="00D55C61"/>
    <w:rsid w:val="00D56238"/>
    <w:rsid w:val="00D56C0D"/>
    <w:rsid w:val="00D56C49"/>
    <w:rsid w:val="00D57085"/>
    <w:rsid w:val="00D57B4D"/>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27EC"/>
    <w:rsid w:val="00D7311A"/>
    <w:rsid w:val="00D73588"/>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0E5"/>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0685"/>
    <w:rsid w:val="00DC1888"/>
    <w:rsid w:val="00DC2B6C"/>
    <w:rsid w:val="00DC309B"/>
    <w:rsid w:val="00DC30C8"/>
    <w:rsid w:val="00DC32DA"/>
    <w:rsid w:val="00DC3903"/>
    <w:rsid w:val="00DC3AD3"/>
    <w:rsid w:val="00DC4095"/>
    <w:rsid w:val="00DC4816"/>
    <w:rsid w:val="00DC4DA2"/>
    <w:rsid w:val="00DC5147"/>
    <w:rsid w:val="00DC525E"/>
    <w:rsid w:val="00DC545D"/>
    <w:rsid w:val="00DC5521"/>
    <w:rsid w:val="00DC60EC"/>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544E"/>
    <w:rsid w:val="00DE604A"/>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2CA"/>
    <w:rsid w:val="00E03F1B"/>
    <w:rsid w:val="00E04692"/>
    <w:rsid w:val="00E04CC9"/>
    <w:rsid w:val="00E0606A"/>
    <w:rsid w:val="00E07AE1"/>
    <w:rsid w:val="00E11B9A"/>
    <w:rsid w:val="00E12540"/>
    <w:rsid w:val="00E12652"/>
    <w:rsid w:val="00E12B71"/>
    <w:rsid w:val="00E13585"/>
    <w:rsid w:val="00E135AE"/>
    <w:rsid w:val="00E140C2"/>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137"/>
    <w:rsid w:val="00E65304"/>
    <w:rsid w:val="00E657FE"/>
    <w:rsid w:val="00E66191"/>
    <w:rsid w:val="00E66A0D"/>
    <w:rsid w:val="00E674C2"/>
    <w:rsid w:val="00E675BA"/>
    <w:rsid w:val="00E6760D"/>
    <w:rsid w:val="00E72AC4"/>
    <w:rsid w:val="00E72D73"/>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781"/>
    <w:rsid w:val="00E87D15"/>
    <w:rsid w:val="00E87E91"/>
    <w:rsid w:val="00E903E5"/>
    <w:rsid w:val="00E91296"/>
    <w:rsid w:val="00E916F7"/>
    <w:rsid w:val="00E91877"/>
    <w:rsid w:val="00E91895"/>
    <w:rsid w:val="00E91C9B"/>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A9C"/>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C55"/>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75A"/>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39E"/>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A54"/>
    <w:rsid w:val="00F47D87"/>
    <w:rsid w:val="00F511F2"/>
    <w:rsid w:val="00F52161"/>
    <w:rsid w:val="00F5343A"/>
    <w:rsid w:val="00F53D87"/>
    <w:rsid w:val="00F53F1D"/>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75A"/>
    <w:rsid w:val="00F73988"/>
    <w:rsid w:val="00F73FAC"/>
    <w:rsid w:val="00F742A8"/>
    <w:rsid w:val="00F74733"/>
    <w:rsid w:val="00F74B84"/>
    <w:rsid w:val="00F75EF0"/>
    <w:rsid w:val="00F76428"/>
    <w:rsid w:val="00F765C4"/>
    <w:rsid w:val="00F76FC3"/>
    <w:rsid w:val="00F7784A"/>
    <w:rsid w:val="00F80925"/>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19C1"/>
    <w:rsid w:val="00FB249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713"/>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00FF69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uiPriority="10" w:qFormat="1"/>
    <w:lsdException w:name="Hyperlink" w:uiPriority="99"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1E9F"/>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목록 단"/>
    <w:basedOn w:val="a"/>
    <w:link w:val="af9"/>
    <w:uiPriority w:val="34"/>
    <w:qFormat/>
    <w:rsid w:val="00FF60C0"/>
    <w:pPr>
      <w:ind w:firstLineChars="200" w:firstLine="420"/>
    </w:pPr>
  </w:style>
  <w:style w:type="character" w:styleId="afa">
    <w:name w:val="Hyperlink"/>
    <w:uiPriority w:val="99"/>
    <w:qFormat/>
    <w:rsid w:val="00953345"/>
    <w:rPr>
      <w:color w:val="0000FF"/>
      <w:u w:val="single"/>
    </w:rPr>
  </w:style>
  <w:style w:type="paragraph" w:styleId="afb">
    <w:name w:val="Title"/>
    <w:basedOn w:val="a"/>
    <w:next w:val="a"/>
    <w:link w:val="afc"/>
    <w:uiPriority w:val="10"/>
    <w:qFormat/>
    <w:rsid w:val="0095334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afc">
    <w:name w:val="标题 字符"/>
    <w:basedOn w:val="a0"/>
    <w:link w:val="afb"/>
    <w:uiPriority w:val="10"/>
    <w:rsid w:val="00953345"/>
    <w:rPr>
      <w:rFonts w:ascii="Arial" w:eastAsia="Times New Roman" w:hAnsi="Arial" w:cs="Arial"/>
      <w:b/>
      <w:bCs/>
      <w:kern w:val="28"/>
      <w:lang w:eastAsia="en-US"/>
    </w:rPr>
  </w:style>
  <w:style w:type="paragraph" w:customStyle="1" w:styleId="Source">
    <w:name w:val="Source"/>
    <w:basedOn w:val="a"/>
    <w:rsid w:val="00953345"/>
    <w:pPr>
      <w:overflowPunct/>
      <w:autoSpaceDE/>
      <w:autoSpaceDN/>
      <w:adjustRightInd/>
      <w:spacing w:after="60"/>
      <w:ind w:left="1985" w:hanging="1985"/>
      <w:textAlignment w:val="auto"/>
    </w:pPr>
    <w:rPr>
      <w:rFonts w:ascii="Arial" w:eastAsia="宋体" w:hAnsi="Arial" w:cs="Arial"/>
      <w:b/>
      <w:lang w:eastAsia="en-US"/>
    </w:rPr>
  </w:style>
  <w:style w:type="paragraph" w:customStyle="1" w:styleId="Contact">
    <w:name w:val="Contact"/>
    <w:basedOn w:val="4"/>
    <w:rsid w:val="00953345"/>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paragraph" w:customStyle="1" w:styleId="FirstChange">
    <w:name w:val="First Change"/>
    <w:basedOn w:val="a"/>
    <w:qFormat/>
    <w:rsid w:val="00982A41"/>
    <w:pPr>
      <w:overflowPunct/>
      <w:autoSpaceDE/>
      <w:autoSpaceDN/>
      <w:adjustRightInd/>
      <w:jc w:val="center"/>
      <w:textAlignment w:val="auto"/>
    </w:pPr>
    <w:rPr>
      <w:rFonts w:eastAsia="宋体"/>
      <w:color w:val="FF0000"/>
      <w:lang w:eastAsia="en-US"/>
    </w:rPr>
  </w:style>
  <w:style w:type="character" w:customStyle="1" w:styleId="B1Zchn">
    <w:name w:val="B1 Zchn"/>
    <w:qFormat/>
    <w:rsid w:val="00982A41"/>
    <w:rPr>
      <w:rFonts w:eastAsia="Times New Roman"/>
    </w:rPr>
  </w:style>
  <w:style w:type="paragraph" w:styleId="afd">
    <w:name w:val="Body Text"/>
    <w:basedOn w:val="a"/>
    <w:link w:val="afe"/>
    <w:rsid w:val="00330723"/>
    <w:pPr>
      <w:spacing w:after="120"/>
      <w:jc w:val="both"/>
    </w:pPr>
    <w:rPr>
      <w:rFonts w:ascii="Batang" w:eastAsia="宋体" w:hAnsi="Batang" w:cs="Tahoma"/>
      <w:lang w:eastAsia="zh-CN"/>
    </w:rPr>
  </w:style>
  <w:style w:type="character" w:customStyle="1" w:styleId="afe">
    <w:name w:val="正文文本 字符"/>
    <w:basedOn w:val="a0"/>
    <w:link w:val="afd"/>
    <w:rsid w:val="00330723"/>
    <w:rPr>
      <w:rFonts w:ascii="Batang" w:eastAsia="宋体" w:hAnsi="Batang" w:cs="Tahoma"/>
      <w:lang w:eastAsia="zh-CN"/>
    </w:rPr>
  </w:style>
  <w:style w:type="paragraph" w:customStyle="1" w:styleId="Doc-text2">
    <w:name w:val="Doc-text2"/>
    <w:basedOn w:val="a"/>
    <w:link w:val="Doc-text2Char"/>
    <w:qFormat/>
    <w:rsid w:val="0033072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0723"/>
    <w:rPr>
      <w:rFonts w:ascii="Arial" w:eastAsia="MS Mincho" w:hAnsi="Arial"/>
      <w:szCs w:val="24"/>
      <w:lang w:eastAsia="en-GB"/>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330723"/>
    <w:rPr>
      <w:rFonts w:eastAsia="Times New Roman"/>
    </w:rPr>
  </w:style>
  <w:style w:type="table" w:styleId="aff">
    <w:name w:val="Table Grid"/>
    <w:basedOn w:val="a1"/>
    <w:uiPriority w:val="39"/>
    <w:qFormat/>
    <w:rsid w:val="00993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annotation subject"/>
    <w:basedOn w:val="af6"/>
    <w:next w:val="af6"/>
    <w:link w:val="aff1"/>
    <w:semiHidden/>
    <w:unhideWhenUsed/>
    <w:rsid w:val="004A7039"/>
    <w:pPr>
      <w:textAlignment w:val="baseline"/>
    </w:pPr>
    <w:rPr>
      <w:b/>
      <w:bCs/>
      <w:lang w:val="en-GB" w:eastAsia="ja-JP"/>
    </w:rPr>
  </w:style>
  <w:style w:type="character" w:customStyle="1" w:styleId="aff1">
    <w:name w:val="批注主题 字符"/>
    <w:basedOn w:val="af7"/>
    <w:link w:val="aff0"/>
    <w:semiHidden/>
    <w:rsid w:val="004A7039"/>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39345132">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6971263">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6500047">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25bis\Docs\R2-24034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072DD-F82F-4BE9-816E-C2B5D286C90A}">
  <ds:schemaRefs>
    <ds:schemaRef ds:uri="http://schemas.openxmlformats.org/officeDocument/2006/bibliography"/>
  </ds:schemaRefs>
</ds:datastoreItem>
</file>

<file path=customXml/itemProps2.xml><?xml version="1.0" encoding="utf-8"?>
<ds:datastoreItem xmlns:ds="http://schemas.openxmlformats.org/officeDocument/2006/customXml" ds:itemID="{A69B3F70-8FA7-495B-BF8E-55A5A850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8</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14</cp:revision>
  <dcterms:created xsi:type="dcterms:W3CDTF">2024-07-26T03:58:00Z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(3)XXUInUcbgdwuxFcJfxahobty94nTwARHzEvGhxO8TxyKXbNWn3l3tet1e0ol0XvoAbi842vh
W1bh7uJdZWWac3bX0VwXU2AmDuEGZXNgHv19tjyh7OXp2Umvl07tpmIj41zreqti/QjQXzeM
ZRnhRAPKx0LXMy9sMNVxp3ArHcnkIM4cQN57XCGYoTEVwpnjAESUFNfh/TYLpj/YNQgte0hE
lZdMu9IrjsDtLTLxDl</vt:lpwstr>
  </property>
  <property fmtid="{D5CDD505-2E9C-101B-9397-08002B2CF9AE}" pid="4" name="_2015_ms_pID_7253431">
    <vt:lpwstr>Ugt1nk5o9YtsyXuddVePzyJVSJNTHrz7B2SaPp9bEdZT0so+uRbB8g
olvk4OXY4jMU4fRxGNDG/OpfjBot4VZqHq9cHIPhN/DW4dV8662GSsH9p/K2wxDUePjSdpcb
XM95SNhDbwCQwUo+q9NXvCJG2VxV+59IKrYZCHZ16cM68ibjxPeYs02oQyQwcixIFK9aHVt0
YiSYZnZ6xtDP9eVXOE4scW5gTkbfRqDTRVv/</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1706167319</vt:lpwstr>
  </property>
</Properties>
</file>